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6011" w14:textId="2CC007BF" w:rsidR="00683C7F" w:rsidRDefault="00EA1220" w:rsidP="0044784A">
      <w:pPr>
        <w:rPr>
          <w:rFonts w:ascii="Arial" w:hAnsi="Arial" w:cs="Arial"/>
          <w:color w:val="000000" w:themeColor="text1"/>
          <w:sz w:val="22"/>
          <w:szCs w:val="22"/>
        </w:rPr>
      </w:pPr>
      <w:r>
        <w:rPr>
          <w:rFonts w:ascii="Arial" w:hAnsi="Arial" w:cs="Arial"/>
          <w:color w:val="000000" w:themeColor="text1"/>
          <w:sz w:val="22"/>
          <w:szCs w:val="22"/>
        </w:rPr>
        <w:t>Comments from Village of Shorewood Attorney Nathan J. Bayer</w:t>
      </w:r>
    </w:p>
    <w:p w14:paraId="3D9AA9F5" w14:textId="77777777" w:rsidR="00EA1220" w:rsidRDefault="00EA1220" w:rsidP="0044784A">
      <w:pPr>
        <w:rPr>
          <w:rFonts w:ascii="Arial" w:hAnsi="Arial" w:cs="Arial"/>
          <w:color w:val="000000" w:themeColor="text1"/>
          <w:sz w:val="22"/>
          <w:szCs w:val="22"/>
        </w:rPr>
      </w:pPr>
    </w:p>
    <w:p w14:paraId="1FB2C7E0"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Ms. Bence:</w:t>
      </w:r>
    </w:p>
    <w:p w14:paraId="28AA9C11"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 </w:t>
      </w:r>
    </w:p>
    <w:p w14:paraId="3431FACA"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Per your request attached is a copy of the case of the Wisconsin Supreme Court case</w:t>
      </w:r>
      <w:r>
        <w:rPr>
          <w:rStyle w:val="apple-converted-space"/>
          <w:rFonts w:ascii="inherit" w:eastAsiaTheme="majorEastAsia" w:hAnsi="inherit" w:cs="Calibri"/>
          <w:color w:val="242424"/>
          <w:sz w:val="22"/>
          <w:szCs w:val="22"/>
          <w:bdr w:val="none" w:sz="0" w:space="0" w:color="auto" w:frame="1"/>
        </w:rPr>
        <w:t> </w:t>
      </w:r>
      <w:r>
        <w:rPr>
          <w:rFonts w:ascii="inherit" w:hAnsi="inherit" w:cs="Calibri"/>
          <w:color w:val="242424"/>
          <w:sz w:val="22"/>
          <w:szCs w:val="22"/>
          <w:u w:val="single"/>
          <w:bdr w:val="none" w:sz="0" w:space="0" w:color="auto" w:frame="1"/>
        </w:rPr>
        <w:t>Doemel v. Jantz</w:t>
      </w:r>
      <w:r>
        <w:rPr>
          <w:rFonts w:ascii="inherit" w:hAnsi="inherit" w:cs="Calibri"/>
          <w:color w:val="242424"/>
          <w:sz w:val="22"/>
          <w:szCs w:val="22"/>
          <w:bdr w:val="none" w:sz="0" w:space="0" w:color="auto" w:frame="1"/>
        </w:rPr>
        <w:t>. </w:t>
      </w:r>
      <w:r>
        <w:rPr>
          <w:rStyle w:val="apple-converted-space"/>
          <w:rFonts w:ascii="inherit" w:eastAsiaTheme="majorEastAsia" w:hAnsi="inherit" w:cs="Calibri"/>
          <w:color w:val="242424"/>
          <w:sz w:val="22"/>
          <w:szCs w:val="22"/>
          <w:bdr w:val="none" w:sz="0" w:space="0" w:color="auto" w:frame="1"/>
        </w:rPr>
        <w:t> </w:t>
      </w:r>
    </w:p>
    <w:p w14:paraId="7C6EDD36"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 </w:t>
      </w:r>
    </w:p>
    <w:p w14:paraId="44296BE9"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In</w:t>
      </w:r>
      <w:r>
        <w:rPr>
          <w:rStyle w:val="apple-converted-space"/>
          <w:rFonts w:ascii="inherit" w:eastAsiaTheme="majorEastAsia" w:hAnsi="inherit" w:cs="Calibri"/>
          <w:color w:val="242424"/>
          <w:sz w:val="22"/>
          <w:szCs w:val="22"/>
          <w:bdr w:val="none" w:sz="0" w:space="0" w:color="auto" w:frame="1"/>
        </w:rPr>
        <w:t> </w:t>
      </w:r>
      <w:r>
        <w:rPr>
          <w:rFonts w:ascii="inherit" w:hAnsi="inherit" w:cs="Calibri"/>
          <w:color w:val="242424"/>
          <w:sz w:val="22"/>
          <w:szCs w:val="22"/>
          <w:u w:val="single"/>
          <w:bdr w:val="none" w:sz="0" w:space="0" w:color="auto" w:frame="1"/>
        </w:rPr>
        <w:t>Doemel</w:t>
      </w:r>
      <w:r>
        <w:rPr>
          <w:rStyle w:val="apple-converted-space"/>
          <w:rFonts w:ascii="inherit" w:eastAsiaTheme="majorEastAsia" w:hAnsi="inherit" w:cs="Calibri"/>
          <w:color w:val="242424"/>
          <w:sz w:val="22"/>
          <w:szCs w:val="22"/>
          <w:bdr w:val="none" w:sz="0" w:space="0" w:color="auto" w:frame="1"/>
        </w:rPr>
        <w:t> </w:t>
      </w:r>
      <w:r>
        <w:rPr>
          <w:rFonts w:ascii="inherit" w:hAnsi="inherit" w:cs="Calibri"/>
          <w:color w:val="242424"/>
          <w:sz w:val="22"/>
          <w:szCs w:val="22"/>
          <w:bdr w:val="none" w:sz="0" w:space="0" w:color="auto" w:frame="1"/>
        </w:rPr>
        <w:t xml:space="preserve">the WI supreme court discussed the public trust doctrine and held that individuals who own land adjacent to a lake have “the exclusive privileges of the shore for purposes of access to his land and water,” and concluded that the public’s right extended only to the water’s edge. Most importantly, it concluded that walking on the shoreland between the ordinary </w:t>
      </w:r>
      <w:proofErr w:type="gramStart"/>
      <w:r>
        <w:rPr>
          <w:rFonts w:ascii="inherit" w:hAnsi="inherit" w:cs="Calibri"/>
          <w:color w:val="242424"/>
          <w:sz w:val="22"/>
          <w:szCs w:val="22"/>
          <w:bdr w:val="none" w:sz="0" w:space="0" w:color="auto" w:frame="1"/>
        </w:rPr>
        <w:t>high water</w:t>
      </w:r>
      <w:proofErr w:type="gramEnd"/>
      <w:r>
        <w:rPr>
          <w:rFonts w:ascii="inherit" w:hAnsi="inherit" w:cs="Calibri"/>
          <w:color w:val="242424"/>
          <w:sz w:val="22"/>
          <w:szCs w:val="22"/>
          <w:bdr w:val="none" w:sz="0" w:space="0" w:color="auto" w:frame="1"/>
        </w:rPr>
        <w:t xml:space="preserve"> mark and water constituted trespass. An individual was not, however, trespassing if physically in the water. This is where the term “wet feet doctrine” you may have heard comes from.  </w:t>
      </w:r>
    </w:p>
    <w:p w14:paraId="041D96E6"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 </w:t>
      </w:r>
    </w:p>
    <w:p w14:paraId="7E32B371"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Legislation and subsequent case law have caused much confusion on this front. For example, in 1999, the state legislature carved out an exception to the “wet feet” concept that applied to only streams, but not lakes. Wisconsin statute section 30.134 governs “Use of exposed shore areas along streams.” In 1999, the legislature amended the statute to allow people to carry out recreational activities in the area</w:t>
      </w:r>
      <w:r>
        <w:rPr>
          <w:rStyle w:val="apple-converted-space"/>
          <w:rFonts w:ascii="inherit" w:eastAsiaTheme="majorEastAsia" w:hAnsi="inherit" w:cs="Calibri"/>
          <w:color w:val="242424"/>
          <w:sz w:val="22"/>
          <w:szCs w:val="22"/>
          <w:bdr w:val="none" w:sz="0" w:space="0" w:color="auto" w:frame="1"/>
        </w:rPr>
        <w:t> </w:t>
      </w:r>
      <w:r>
        <w:rPr>
          <w:rFonts w:ascii="inherit" w:hAnsi="inherit" w:cs="Calibri"/>
          <w:b/>
          <w:bCs/>
          <w:color w:val="242424"/>
          <w:sz w:val="22"/>
          <w:szCs w:val="22"/>
          <w:bdr w:val="none" w:sz="0" w:space="0" w:color="auto" w:frame="1"/>
        </w:rPr>
        <w:t>between</w:t>
      </w:r>
      <w:r>
        <w:rPr>
          <w:rStyle w:val="apple-converted-space"/>
          <w:rFonts w:ascii="inherit" w:eastAsiaTheme="majorEastAsia" w:hAnsi="inherit" w:cs="Calibri"/>
          <w:color w:val="242424"/>
          <w:sz w:val="22"/>
          <w:szCs w:val="22"/>
          <w:bdr w:val="none" w:sz="0" w:space="0" w:color="auto" w:frame="1"/>
        </w:rPr>
        <w:t> </w:t>
      </w:r>
      <w:r>
        <w:rPr>
          <w:rFonts w:ascii="inherit" w:hAnsi="inherit" w:cs="Calibri"/>
          <w:color w:val="242424"/>
          <w:sz w:val="22"/>
          <w:szCs w:val="22"/>
          <w:bdr w:val="none" w:sz="0" w:space="0" w:color="auto" w:frame="1"/>
        </w:rPr>
        <w:t xml:space="preserve">the </w:t>
      </w:r>
      <w:proofErr w:type="gramStart"/>
      <w:r>
        <w:rPr>
          <w:rFonts w:ascii="inherit" w:hAnsi="inherit" w:cs="Calibri"/>
          <w:color w:val="242424"/>
          <w:sz w:val="22"/>
          <w:szCs w:val="22"/>
          <w:bdr w:val="none" w:sz="0" w:space="0" w:color="auto" w:frame="1"/>
        </w:rPr>
        <w:t>high water</w:t>
      </w:r>
      <w:proofErr w:type="gramEnd"/>
      <w:r>
        <w:rPr>
          <w:rFonts w:ascii="inherit" w:hAnsi="inherit" w:cs="Calibri"/>
          <w:color w:val="242424"/>
          <w:sz w:val="22"/>
          <w:szCs w:val="22"/>
          <w:bdr w:val="none" w:sz="0" w:space="0" w:color="auto" w:frame="1"/>
        </w:rPr>
        <w:t xml:space="preserve"> mark and water of a stream. That created so much chaos and so many problems that in 2001 the legislature repealed the law and changed it back. So currently the statute dictates that when it comes to streams, you can only temporarily intrude in the area between high water mark and water for the express purpose of navigating around an obstruction blocking the waterway.</w:t>
      </w:r>
      <w:r>
        <w:rPr>
          <w:rStyle w:val="apple-converted-space"/>
          <w:rFonts w:ascii="inherit" w:eastAsiaTheme="majorEastAsia" w:hAnsi="inherit" w:cs="Calibri"/>
          <w:color w:val="242424"/>
          <w:sz w:val="22"/>
          <w:szCs w:val="22"/>
          <w:bdr w:val="none" w:sz="0" w:space="0" w:color="auto" w:frame="1"/>
        </w:rPr>
        <w:t> </w:t>
      </w:r>
    </w:p>
    <w:p w14:paraId="7A1AF799" w14:textId="77777777" w:rsidR="00EA1220" w:rsidRDefault="00EA1220" w:rsidP="00EA1220">
      <w:pPr>
        <w:pStyle w:val="NormalWeb"/>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 </w:t>
      </w:r>
    </w:p>
    <w:p w14:paraId="1D256A1B" w14:textId="364A0A8D" w:rsidR="00EA1220" w:rsidRDefault="00EA1220" w:rsidP="00EA1220">
      <w:pPr>
        <w:pStyle w:val="NormalWeb"/>
        <w:spacing w:before="0" w:beforeAutospacing="0" w:after="0" w:afterAutospacing="0"/>
        <w:rPr>
          <w:rFonts w:ascii="Calibri" w:hAnsi="Calibri" w:cs="Calibri"/>
          <w:color w:val="242424"/>
          <w:sz w:val="22"/>
          <w:szCs w:val="22"/>
          <w:shd w:val="clear" w:color="auto" w:fill="FFFFFF"/>
        </w:rPr>
      </w:pPr>
      <w:r>
        <w:rPr>
          <w:rFonts w:ascii="inherit" w:hAnsi="inherit" w:cs="Calibri"/>
          <w:color w:val="242424"/>
          <w:sz w:val="22"/>
          <w:szCs w:val="22"/>
          <w:bdr w:val="none" w:sz="0" w:space="0" w:color="auto" w:frame="1"/>
        </w:rPr>
        <w:t>It was also widely published in the press that in 2024 a circuit court judge held that the Wisconsin DNR’s interpretation and advice on the “wet feet doctrine” was faulty. Technically, this may be a correct statement but not in the way most people understand it. Here is the DNR interpretation the court said was wrong: The DNR has said the “wet feet” doctrine applied</w:t>
      </w:r>
      <w:r>
        <w:rPr>
          <w:rStyle w:val="apple-converted-space"/>
          <w:rFonts w:ascii="inherit" w:eastAsiaTheme="majorEastAsia" w:hAnsi="inherit" w:cs="Calibri"/>
          <w:color w:val="242424"/>
          <w:sz w:val="22"/>
          <w:szCs w:val="22"/>
          <w:bdr w:val="none" w:sz="0" w:space="0" w:color="auto" w:frame="1"/>
        </w:rPr>
        <w:t> </w:t>
      </w:r>
      <w:r>
        <w:rPr>
          <w:rFonts w:ascii="inherit" w:hAnsi="inherit" w:cs="Calibri"/>
          <w:b/>
          <w:bCs/>
          <w:color w:val="242424"/>
          <w:sz w:val="22"/>
          <w:szCs w:val="22"/>
          <w:bdr w:val="none" w:sz="0" w:space="0" w:color="auto" w:frame="1"/>
        </w:rPr>
        <w:t>above</w:t>
      </w:r>
      <w:r>
        <w:rPr>
          <w:rStyle w:val="apple-converted-space"/>
          <w:rFonts w:ascii="inherit" w:eastAsiaTheme="majorEastAsia" w:hAnsi="inherit" w:cs="Calibri"/>
          <w:color w:val="242424"/>
          <w:sz w:val="22"/>
          <w:szCs w:val="22"/>
          <w:bdr w:val="none" w:sz="0" w:space="0" w:color="auto" w:frame="1"/>
        </w:rPr>
        <w:t> </w:t>
      </w:r>
      <w:r>
        <w:rPr>
          <w:rFonts w:ascii="inherit" w:hAnsi="inherit" w:cs="Calibri"/>
          <w:color w:val="242424"/>
          <w:sz w:val="22"/>
          <w:szCs w:val="22"/>
          <w:bdr w:val="none" w:sz="0" w:space="0" w:color="auto" w:frame="1"/>
        </w:rPr>
        <w:t xml:space="preserve">the </w:t>
      </w:r>
      <w:proofErr w:type="gramStart"/>
      <w:r>
        <w:rPr>
          <w:rFonts w:ascii="inherit" w:hAnsi="inherit" w:cs="Calibri"/>
          <w:color w:val="242424"/>
          <w:sz w:val="22"/>
          <w:szCs w:val="22"/>
          <w:bdr w:val="none" w:sz="0" w:space="0" w:color="auto" w:frame="1"/>
        </w:rPr>
        <w:t>high water</w:t>
      </w:r>
      <w:proofErr w:type="gramEnd"/>
      <w:r>
        <w:rPr>
          <w:rFonts w:ascii="inherit" w:hAnsi="inherit" w:cs="Calibri"/>
          <w:color w:val="242424"/>
          <w:sz w:val="22"/>
          <w:szCs w:val="22"/>
          <w:bdr w:val="none" w:sz="0" w:space="0" w:color="auto" w:frame="1"/>
        </w:rPr>
        <w:t xml:space="preserve"> mark. In other words, if the water was so high that the actual water level went above the ordinary </w:t>
      </w:r>
      <w:proofErr w:type="gramStart"/>
      <w:r>
        <w:rPr>
          <w:rFonts w:ascii="inherit" w:hAnsi="inherit" w:cs="Calibri"/>
          <w:color w:val="242424"/>
          <w:sz w:val="22"/>
          <w:szCs w:val="22"/>
          <w:bdr w:val="none" w:sz="0" w:space="0" w:color="auto" w:frame="1"/>
        </w:rPr>
        <w:t>high water</w:t>
      </w:r>
      <w:proofErr w:type="gramEnd"/>
      <w:r>
        <w:rPr>
          <w:rFonts w:ascii="inherit" w:hAnsi="inherit" w:cs="Calibri"/>
          <w:color w:val="242424"/>
          <w:sz w:val="22"/>
          <w:szCs w:val="22"/>
          <w:bdr w:val="none" w:sz="0" w:space="0" w:color="auto" w:frame="1"/>
        </w:rPr>
        <w:t xml:space="preserve"> mark, it would not constitute trespass to navigate water above that mark, </w:t>
      </w:r>
      <w:proofErr w:type="gramStart"/>
      <w:r>
        <w:rPr>
          <w:rFonts w:ascii="inherit" w:hAnsi="inherit" w:cs="Calibri"/>
          <w:color w:val="242424"/>
          <w:sz w:val="22"/>
          <w:szCs w:val="22"/>
          <w:bdr w:val="none" w:sz="0" w:space="0" w:color="auto" w:frame="1"/>
        </w:rPr>
        <w:t>as long as</w:t>
      </w:r>
      <w:proofErr w:type="gramEnd"/>
      <w:r>
        <w:rPr>
          <w:rFonts w:ascii="inherit" w:hAnsi="inherit" w:cs="Calibri"/>
          <w:color w:val="242424"/>
          <w:sz w:val="22"/>
          <w:szCs w:val="22"/>
          <w:bdr w:val="none" w:sz="0" w:space="0" w:color="auto" w:frame="1"/>
        </w:rPr>
        <w:t xml:space="preserve"> the person still had “wet feet.” This has nothing to do with the “dry” land between the </w:t>
      </w:r>
      <w:proofErr w:type="gramStart"/>
      <w:r>
        <w:rPr>
          <w:rFonts w:ascii="inherit" w:hAnsi="inherit" w:cs="Calibri"/>
          <w:color w:val="242424"/>
          <w:sz w:val="22"/>
          <w:szCs w:val="22"/>
          <w:bdr w:val="none" w:sz="0" w:space="0" w:color="auto" w:frame="1"/>
        </w:rPr>
        <w:t>high water</w:t>
      </w:r>
      <w:proofErr w:type="gramEnd"/>
      <w:r>
        <w:rPr>
          <w:rFonts w:ascii="inherit" w:hAnsi="inherit" w:cs="Calibri"/>
          <w:color w:val="242424"/>
          <w:sz w:val="22"/>
          <w:szCs w:val="22"/>
          <w:bdr w:val="none" w:sz="0" w:space="0" w:color="auto" w:frame="1"/>
        </w:rPr>
        <w:t xml:space="preserve"> mark and the actual </w:t>
      </w:r>
      <w:proofErr w:type="gramStart"/>
      <w:r>
        <w:rPr>
          <w:rFonts w:ascii="inherit" w:hAnsi="inherit" w:cs="Calibri"/>
          <w:color w:val="242424"/>
          <w:sz w:val="22"/>
          <w:szCs w:val="22"/>
          <w:bdr w:val="none" w:sz="0" w:space="0" w:color="auto" w:frame="1"/>
        </w:rPr>
        <w:t>lake, and</w:t>
      </w:r>
      <w:proofErr w:type="gramEnd"/>
      <w:r>
        <w:rPr>
          <w:rFonts w:ascii="inherit" w:hAnsi="inherit" w:cs="Calibri"/>
          <w:color w:val="242424"/>
          <w:sz w:val="22"/>
          <w:szCs w:val="22"/>
          <w:bdr w:val="none" w:sz="0" w:space="0" w:color="auto" w:frame="1"/>
        </w:rPr>
        <w:t xml:space="preserve"> doesn’t</w:t>
      </w:r>
      <w:r>
        <w:rPr>
          <w:rStyle w:val="apple-converted-space"/>
          <w:rFonts w:ascii="inherit" w:eastAsiaTheme="majorEastAsia" w:hAnsi="inherit" w:cs="Calibri"/>
          <w:color w:val="242424"/>
          <w:sz w:val="22"/>
          <w:szCs w:val="22"/>
          <w:bdr w:val="none" w:sz="0" w:space="0" w:color="auto" w:frame="1"/>
        </w:rPr>
        <w:t> </w:t>
      </w:r>
      <w:r>
        <w:rPr>
          <w:rFonts w:ascii="Calibri" w:hAnsi="Calibri" w:cs="Calibri"/>
          <w:color w:val="242424"/>
          <w:sz w:val="22"/>
          <w:szCs w:val="22"/>
          <w:shd w:val="clear" w:color="auto" w:fill="FFFFFF"/>
        </w:rPr>
        <w:t>impact the decision in the</w:t>
      </w:r>
      <w:r>
        <w:rPr>
          <w:rStyle w:val="apple-converted-space"/>
          <w:rFonts w:ascii="Calibri" w:eastAsiaTheme="majorEastAsia" w:hAnsi="Calibri" w:cs="Calibri"/>
          <w:color w:val="242424"/>
          <w:sz w:val="22"/>
          <w:szCs w:val="22"/>
          <w:shd w:val="clear" w:color="auto" w:fill="FFFFFF"/>
        </w:rPr>
        <w:t> </w:t>
      </w:r>
      <w:r>
        <w:rPr>
          <w:rFonts w:ascii="Calibri" w:hAnsi="Calibri" w:cs="Calibri"/>
          <w:color w:val="242424"/>
          <w:sz w:val="22"/>
          <w:szCs w:val="22"/>
          <w:u w:val="single"/>
        </w:rPr>
        <w:t>Doemel</w:t>
      </w:r>
      <w:r>
        <w:rPr>
          <w:rStyle w:val="apple-converted-space"/>
          <w:rFonts w:ascii="Calibri" w:eastAsiaTheme="majorEastAsia" w:hAnsi="Calibri" w:cs="Calibri"/>
          <w:color w:val="242424"/>
          <w:sz w:val="22"/>
          <w:szCs w:val="22"/>
          <w:shd w:val="clear" w:color="auto" w:fill="FFFFFF"/>
        </w:rPr>
        <w:t> </w:t>
      </w:r>
      <w:r>
        <w:rPr>
          <w:rFonts w:ascii="Calibri" w:hAnsi="Calibri" w:cs="Calibri"/>
          <w:color w:val="242424"/>
          <w:sz w:val="22"/>
          <w:szCs w:val="22"/>
          <w:shd w:val="clear" w:color="auto" w:fill="FFFFFF"/>
        </w:rPr>
        <w:t>case at all. </w:t>
      </w:r>
    </w:p>
    <w:p w14:paraId="441C08E1" w14:textId="77777777" w:rsidR="00EA1220" w:rsidRDefault="00EA1220" w:rsidP="00EA1220">
      <w:pPr>
        <w:pStyle w:val="NormalWeb"/>
        <w:spacing w:before="0" w:beforeAutospacing="0" w:after="0" w:afterAutospacing="0"/>
        <w:rPr>
          <w:rFonts w:ascii="Calibri" w:hAnsi="Calibri" w:cs="Calibri"/>
          <w:color w:val="242424"/>
          <w:sz w:val="22"/>
          <w:szCs w:val="22"/>
          <w:shd w:val="clear" w:color="auto" w:fill="FFFFFF"/>
        </w:rPr>
      </w:pPr>
    </w:p>
    <w:p w14:paraId="5AD64823"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000000"/>
          <w:sz w:val="22"/>
          <w:szCs w:val="22"/>
          <w:bdr w:val="none" w:sz="0" w:space="0" w:color="auto" w:frame="1"/>
        </w:rPr>
        <w:t>Here is some additional context concerning Shorewood Ordinance 409-1 M,</w:t>
      </w:r>
      <w:r>
        <w:rPr>
          <w:rStyle w:val="apple-converted-space"/>
          <w:rFonts w:ascii="Calibri" w:eastAsiaTheme="majorEastAsia" w:hAnsi="Calibri" w:cs="Calibri"/>
          <w:color w:val="000000"/>
          <w:sz w:val="22"/>
          <w:szCs w:val="22"/>
          <w:bdr w:val="none" w:sz="0" w:space="0" w:color="auto" w:frame="1"/>
        </w:rPr>
        <w:t> </w:t>
      </w:r>
      <w:r>
        <w:rPr>
          <w:rFonts w:ascii="Calibri" w:hAnsi="Calibri" w:cs="Calibri"/>
          <w:color w:val="242424"/>
          <w:sz w:val="22"/>
          <w:szCs w:val="22"/>
          <w:bdr w:val="none" w:sz="0" w:space="0" w:color="auto" w:frame="1"/>
        </w:rPr>
        <w:t>which reads as follows:</w:t>
      </w:r>
    </w:p>
    <w:p w14:paraId="699A5B4D"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FF0000"/>
          <w:sz w:val="22"/>
          <w:szCs w:val="22"/>
          <w:bdr w:val="none" w:sz="0" w:space="0" w:color="auto" w:frame="1"/>
        </w:rPr>
        <w:t>Trespass. All provisions of § </w:t>
      </w:r>
      <w:hyperlink r:id="rId5" w:tgtFrame="_blank" w:tooltip="https://municipal.codes/WI/WSA/943.13" w:history="1">
        <w:r>
          <w:rPr>
            <w:rStyle w:val="Hyperlink"/>
            <w:rFonts w:ascii="inherit" w:eastAsiaTheme="majorEastAsia" w:hAnsi="inherit" w:cs="Calibri"/>
            <w:b/>
            <w:bCs/>
            <w:color w:val="FF0000"/>
            <w:sz w:val="22"/>
            <w:szCs w:val="22"/>
            <w:bdr w:val="none" w:sz="0" w:space="0" w:color="auto" w:frame="1"/>
          </w:rPr>
          <w:t>943.13</w:t>
        </w:r>
      </w:hyperlink>
      <w:r>
        <w:rPr>
          <w:rFonts w:ascii="Calibri" w:hAnsi="Calibri" w:cs="Calibri"/>
          <w:color w:val="FF0000"/>
          <w:sz w:val="22"/>
          <w:szCs w:val="22"/>
          <w:bdr w:val="none" w:sz="0" w:space="0" w:color="auto" w:frame="1"/>
        </w:rPr>
        <w:t>, Wis. Stats., describing and defining regulations with respect to trespass to land, for which the penalty is a forfeiture only, are hereby adopted and by reference made a part of this subsection as if fully set forth herein. Any act required to be performed or prohibited by § </w:t>
      </w:r>
      <w:hyperlink r:id="rId6" w:tgtFrame="_blank" w:tooltip="https://municipal.codes/WI/WSA/943.13" w:history="1">
        <w:r>
          <w:rPr>
            <w:rStyle w:val="Hyperlink"/>
            <w:rFonts w:ascii="inherit" w:eastAsiaTheme="majorEastAsia" w:hAnsi="inherit" w:cs="Calibri"/>
            <w:b/>
            <w:bCs/>
            <w:color w:val="FF0000"/>
            <w:sz w:val="22"/>
            <w:szCs w:val="22"/>
            <w:bdr w:val="none" w:sz="0" w:space="0" w:color="auto" w:frame="1"/>
          </w:rPr>
          <w:t>943.13</w:t>
        </w:r>
      </w:hyperlink>
      <w:r>
        <w:rPr>
          <w:rFonts w:ascii="Calibri" w:hAnsi="Calibri" w:cs="Calibri"/>
          <w:color w:val="FF0000"/>
          <w:sz w:val="22"/>
          <w:szCs w:val="22"/>
          <w:bdr w:val="none" w:sz="0" w:space="0" w:color="auto" w:frame="1"/>
        </w:rPr>
        <w:t>, Wis. Stats., incorporated herein by reference is required or prohibited. Any future amendments, revisions or modifications of § </w:t>
      </w:r>
      <w:hyperlink r:id="rId7" w:tgtFrame="_blank" w:tooltip="https://municipal.codes/WI/WSA/943.13" w:history="1">
        <w:r>
          <w:rPr>
            <w:rStyle w:val="Hyperlink"/>
            <w:rFonts w:ascii="inherit" w:eastAsiaTheme="majorEastAsia" w:hAnsi="inherit" w:cs="Calibri"/>
            <w:b/>
            <w:bCs/>
            <w:color w:val="FF0000"/>
            <w:sz w:val="22"/>
            <w:szCs w:val="22"/>
            <w:bdr w:val="none" w:sz="0" w:space="0" w:color="auto" w:frame="1"/>
          </w:rPr>
          <w:t>943.13</w:t>
        </w:r>
      </w:hyperlink>
      <w:r>
        <w:rPr>
          <w:rFonts w:ascii="Calibri" w:hAnsi="Calibri" w:cs="Calibri"/>
          <w:color w:val="FF0000"/>
          <w:sz w:val="22"/>
          <w:szCs w:val="22"/>
          <w:bdr w:val="none" w:sz="0" w:space="0" w:color="auto" w:frame="1"/>
        </w:rPr>
        <w:t>, Wis. Stats., incorporated herein are intended to be made part of this subsection. The penalty for conviction of a violation of this subsection is as set forth in § </w:t>
      </w:r>
      <w:hyperlink r:id="rId8" w:anchor="7772795" w:tgtFrame="_blank" w:tooltip="https://ecode360.com/7772795#7772795" w:history="1">
        <w:r>
          <w:rPr>
            <w:rStyle w:val="Hyperlink"/>
            <w:rFonts w:ascii="inherit" w:eastAsiaTheme="majorEastAsia" w:hAnsi="inherit" w:cs="Calibri"/>
            <w:b/>
            <w:bCs/>
            <w:color w:val="FF0000"/>
            <w:sz w:val="22"/>
            <w:szCs w:val="22"/>
            <w:bdr w:val="none" w:sz="0" w:space="0" w:color="auto" w:frame="1"/>
          </w:rPr>
          <w:t>115-1</w:t>
        </w:r>
      </w:hyperlink>
      <w:r>
        <w:rPr>
          <w:rFonts w:ascii="Calibri" w:hAnsi="Calibri" w:cs="Calibri"/>
          <w:color w:val="FF0000"/>
          <w:sz w:val="22"/>
          <w:szCs w:val="22"/>
          <w:bdr w:val="none" w:sz="0" w:space="0" w:color="auto" w:frame="1"/>
        </w:rPr>
        <w:t> of the Village Code, except that if a person is convicted of a violation of this subsection resulting from the carrying of a concealed firearm and that person had a lawful permit to carry that firearm then the maximum forfeiture is $500.</w:t>
      </w:r>
    </w:p>
    <w:p w14:paraId="61AD8B16"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FF0000"/>
          <w:sz w:val="22"/>
          <w:szCs w:val="22"/>
          <w:bdr w:val="none" w:sz="0" w:space="0" w:color="auto" w:frame="1"/>
        </w:rPr>
        <w:t> </w:t>
      </w:r>
    </w:p>
    <w:p w14:paraId="59BDBD55"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This ordinance applies to</w:t>
      </w:r>
      <w:r>
        <w:rPr>
          <w:rStyle w:val="apple-converted-space"/>
          <w:rFonts w:ascii="Calibri" w:eastAsiaTheme="majorEastAsia" w:hAnsi="Calibri" w:cs="Calibri"/>
          <w:color w:val="242424"/>
          <w:sz w:val="22"/>
          <w:szCs w:val="22"/>
          <w:bdr w:val="none" w:sz="0" w:space="0" w:color="auto" w:frame="1"/>
        </w:rPr>
        <w:t> </w:t>
      </w:r>
      <w:r>
        <w:rPr>
          <w:rFonts w:ascii="Calibri" w:hAnsi="Calibri" w:cs="Calibri"/>
          <w:b/>
          <w:bCs/>
          <w:i/>
          <w:iCs/>
          <w:color w:val="242424"/>
          <w:sz w:val="22"/>
          <w:szCs w:val="22"/>
          <w:bdr w:val="none" w:sz="0" w:space="0" w:color="auto" w:frame="1"/>
        </w:rPr>
        <w:t>any</w:t>
      </w:r>
      <w:r>
        <w:rPr>
          <w:rStyle w:val="apple-converted-space"/>
          <w:rFonts w:ascii="Calibri" w:eastAsiaTheme="majorEastAsia" w:hAnsi="Calibri" w:cs="Calibri"/>
          <w:color w:val="242424"/>
          <w:sz w:val="22"/>
          <w:szCs w:val="22"/>
          <w:bdr w:val="none" w:sz="0" w:space="0" w:color="auto" w:frame="1"/>
        </w:rPr>
        <w:t> </w:t>
      </w:r>
      <w:r>
        <w:rPr>
          <w:rFonts w:ascii="Calibri" w:hAnsi="Calibri" w:cs="Calibri"/>
          <w:color w:val="242424"/>
          <w:sz w:val="22"/>
          <w:szCs w:val="22"/>
          <w:bdr w:val="none" w:sz="0" w:space="0" w:color="auto" w:frame="1"/>
        </w:rPr>
        <w:t>trespass, be it through a backyard of a home abutting Lake Michigan, or through a backyard of a home blocks away from Lake Michigan. There is no different “special ordinance” specifically addressing trespass along the Lake Michigan waterfront.</w:t>
      </w:r>
      <w:r>
        <w:rPr>
          <w:rStyle w:val="apple-converted-space"/>
          <w:rFonts w:ascii="Calibri" w:eastAsiaTheme="majorEastAsia" w:hAnsi="Calibri" w:cs="Calibri"/>
          <w:color w:val="242424"/>
          <w:sz w:val="22"/>
          <w:szCs w:val="22"/>
          <w:bdr w:val="none" w:sz="0" w:space="0" w:color="auto" w:frame="1"/>
        </w:rPr>
        <w:t> </w:t>
      </w:r>
    </w:p>
    <w:p w14:paraId="5F1546C2"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w:t>
      </w:r>
    </w:p>
    <w:p w14:paraId="4E487B5C"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lastRenderedPageBreak/>
        <w:t>The signs at the end of the public Atwater Beach are intended to advise people that walking on land beyond that point constitutes trespass. The information conveyed by the signs is true and consistent with the Wisconsin Supreme Court’s decision in the</w:t>
      </w:r>
      <w:r>
        <w:rPr>
          <w:rStyle w:val="apple-converted-space"/>
          <w:rFonts w:ascii="Calibri" w:eastAsiaTheme="majorEastAsia" w:hAnsi="Calibri" w:cs="Calibri"/>
          <w:color w:val="242424"/>
          <w:sz w:val="22"/>
          <w:szCs w:val="22"/>
          <w:bdr w:val="none" w:sz="0" w:space="0" w:color="auto" w:frame="1"/>
        </w:rPr>
        <w:t> </w:t>
      </w:r>
      <w:r>
        <w:rPr>
          <w:rFonts w:ascii="Calibri" w:hAnsi="Calibri" w:cs="Calibri"/>
          <w:color w:val="242424"/>
          <w:sz w:val="22"/>
          <w:szCs w:val="22"/>
          <w:u w:val="single"/>
          <w:bdr w:val="none" w:sz="0" w:space="0" w:color="auto" w:frame="1"/>
        </w:rPr>
        <w:t>Doemel</w:t>
      </w:r>
      <w:r>
        <w:rPr>
          <w:rStyle w:val="apple-converted-space"/>
          <w:rFonts w:ascii="Calibri" w:eastAsiaTheme="majorEastAsia" w:hAnsi="Calibri" w:cs="Calibri"/>
          <w:color w:val="242424"/>
          <w:sz w:val="22"/>
          <w:szCs w:val="22"/>
          <w:bdr w:val="none" w:sz="0" w:space="0" w:color="auto" w:frame="1"/>
        </w:rPr>
        <w:t> </w:t>
      </w:r>
      <w:r>
        <w:rPr>
          <w:rFonts w:ascii="Calibri" w:hAnsi="Calibri" w:cs="Calibri"/>
          <w:color w:val="242424"/>
          <w:sz w:val="22"/>
          <w:szCs w:val="22"/>
          <w:bdr w:val="none" w:sz="0" w:space="0" w:color="auto" w:frame="1"/>
        </w:rPr>
        <w:t>case discussed below. Keep in mind that the only way in an individual could go past that point and not be trespassing is if they stayed in the water. (This is where the shorthand reference “wet feet doctrine” comes from.)</w:t>
      </w:r>
      <w:r>
        <w:rPr>
          <w:rStyle w:val="apple-converted-space"/>
          <w:rFonts w:ascii="Calibri" w:eastAsiaTheme="majorEastAsia" w:hAnsi="Calibri" w:cs="Calibri"/>
          <w:color w:val="242424"/>
          <w:sz w:val="22"/>
          <w:szCs w:val="22"/>
          <w:bdr w:val="none" w:sz="0" w:space="0" w:color="auto" w:frame="1"/>
        </w:rPr>
        <w:t> </w:t>
      </w:r>
    </w:p>
    <w:p w14:paraId="4DB14E10"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w:t>
      </w:r>
    </w:p>
    <w:p w14:paraId="260CAD41" w14:textId="77777777" w:rsidR="00EA1220" w:rsidRDefault="00EA1220" w:rsidP="00EA1220">
      <w:pPr>
        <w:pStyle w:val="NormalWeb"/>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xml:space="preserve">A Shorewood resident has vehemently argued that the “public trust” doctrine allows them to walk along the dry lake shore, </w:t>
      </w:r>
      <w:proofErr w:type="gramStart"/>
      <w:r>
        <w:rPr>
          <w:rFonts w:ascii="Calibri" w:hAnsi="Calibri" w:cs="Calibri"/>
          <w:color w:val="242424"/>
          <w:sz w:val="22"/>
          <w:szCs w:val="22"/>
          <w:bdr w:val="none" w:sz="0" w:space="0" w:color="auto" w:frame="1"/>
        </w:rPr>
        <w:t>as long as</w:t>
      </w:r>
      <w:proofErr w:type="gramEnd"/>
      <w:r>
        <w:rPr>
          <w:rFonts w:ascii="Calibri" w:hAnsi="Calibri" w:cs="Calibri"/>
          <w:color w:val="242424"/>
          <w:sz w:val="22"/>
          <w:szCs w:val="22"/>
          <w:bdr w:val="none" w:sz="0" w:space="0" w:color="auto" w:frame="1"/>
        </w:rPr>
        <w:t xml:space="preserve"> they are between the </w:t>
      </w:r>
      <w:proofErr w:type="gramStart"/>
      <w:r>
        <w:rPr>
          <w:rFonts w:ascii="Calibri" w:hAnsi="Calibri" w:cs="Calibri"/>
          <w:color w:val="242424"/>
          <w:sz w:val="22"/>
          <w:szCs w:val="22"/>
          <w:bdr w:val="none" w:sz="0" w:space="0" w:color="auto" w:frame="1"/>
        </w:rPr>
        <w:t>high water</w:t>
      </w:r>
      <w:proofErr w:type="gramEnd"/>
      <w:r>
        <w:rPr>
          <w:rFonts w:ascii="Calibri" w:hAnsi="Calibri" w:cs="Calibri"/>
          <w:color w:val="242424"/>
          <w:sz w:val="22"/>
          <w:szCs w:val="22"/>
          <w:bdr w:val="none" w:sz="0" w:space="0" w:color="auto" w:frame="1"/>
        </w:rPr>
        <w:t xml:space="preserve"> mark and the water. As declared by the Wisconsin Supreme Court in</w:t>
      </w:r>
      <w:r>
        <w:rPr>
          <w:rStyle w:val="apple-converted-space"/>
          <w:rFonts w:ascii="Calibri" w:eastAsiaTheme="majorEastAsia" w:hAnsi="Calibri" w:cs="Calibri"/>
          <w:color w:val="242424"/>
          <w:sz w:val="22"/>
          <w:szCs w:val="22"/>
          <w:bdr w:val="none" w:sz="0" w:space="0" w:color="auto" w:frame="1"/>
        </w:rPr>
        <w:t> </w:t>
      </w:r>
      <w:r>
        <w:rPr>
          <w:rFonts w:ascii="Calibri" w:hAnsi="Calibri" w:cs="Calibri"/>
          <w:color w:val="242424"/>
          <w:sz w:val="22"/>
          <w:szCs w:val="22"/>
          <w:u w:val="single"/>
          <w:bdr w:val="none" w:sz="0" w:space="0" w:color="auto" w:frame="1"/>
        </w:rPr>
        <w:t>Doemel</w:t>
      </w:r>
      <w:r>
        <w:rPr>
          <w:rFonts w:ascii="Calibri" w:hAnsi="Calibri" w:cs="Calibri"/>
          <w:color w:val="242424"/>
          <w:sz w:val="22"/>
          <w:szCs w:val="22"/>
          <w:bdr w:val="none" w:sz="0" w:space="0" w:color="auto" w:frame="1"/>
        </w:rPr>
        <w:t>, this is incorrect. </w:t>
      </w:r>
      <w:r>
        <w:rPr>
          <w:rStyle w:val="apple-converted-space"/>
          <w:rFonts w:ascii="Calibri" w:eastAsiaTheme="majorEastAsia" w:hAnsi="Calibri" w:cs="Calibri"/>
          <w:color w:val="242424"/>
          <w:sz w:val="22"/>
          <w:szCs w:val="22"/>
          <w:bdr w:val="none" w:sz="0" w:space="0" w:color="auto" w:frame="1"/>
        </w:rPr>
        <w:t> </w:t>
      </w:r>
    </w:p>
    <w:p w14:paraId="4F5F709A" w14:textId="77777777" w:rsidR="00EA1220" w:rsidRDefault="00EA1220" w:rsidP="00EA1220"/>
    <w:p w14:paraId="0A583F1A" w14:textId="77777777" w:rsidR="00EA1220" w:rsidRPr="00E43D83" w:rsidRDefault="00EA1220" w:rsidP="00EA1220">
      <w:pPr>
        <w:pStyle w:val="NormalWeb"/>
        <w:spacing w:before="0" w:beforeAutospacing="0" w:after="0" w:afterAutospacing="0"/>
        <w:rPr>
          <w:rFonts w:ascii="Arial" w:hAnsi="Arial" w:cs="Arial"/>
          <w:color w:val="000000" w:themeColor="text1"/>
          <w:sz w:val="22"/>
          <w:szCs w:val="22"/>
        </w:rPr>
      </w:pPr>
    </w:p>
    <w:sectPr w:rsidR="00EA1220" w:rsidRPr="00E4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94"/>
    <w:rsid w:val="000067B3"/>
    <w:rsid w:val="00012C7C"/>
    <w:rsid w:val="00021056"/>
    <w:rsid w:val="000612FC"/>
    <w:rsid w:val="00077B43"/>
    <w:rsid w:val="00094AF7"/>
    <w:rsid w:val="000B288E"/>
    <w:rsid w:val="000D19F4"/>
    <w:rsid w:val="000D567C"/>
    <w:rsid w:val="000D70C1"/>
    <w:rsid w:val="000E77C9"/>
    <w:rsid w:val="000F6181"/>
    <w:rsid w:val="001014FF"/>
    <w:rsid w:val="00120D5D"/>
    <w:rsid w:val="001359AC"/>
    <w:rsid w:val="0014329F"/>
    <w:rsid w:val="001432B8"/>
    <w:rsid w:val="002010DC"/>
    <w:rsid w:val="002217BC"/>
    <w:rsid w:val="00231113"/>
    <w:rsid w:val="00251502"/>
    <w:rsid w:val="00281210"/>
    <w:rsid w:val="00284824"/>
    <w:rsid w:val="002B3BB7"/>
    <w:rsid w:val="002C0182"/>
    <w:rsid w:val="002E2464"/>
    <w:rsid w:val="003449A4"/>
    <w:rsid w:val="00353094"/>
    <w:rsid w:val="00363FEC"/>
    <w:rsid w:val="003810BA"/>
    <w:rsid w:val="003C079C"/>
    <w:rsid w:val="00415A4B"/>
    <w:rsid w:val="0044784A"/>
    <w:rsid w:val="004540B0"/>
    <w:rsid w:val="004667BA"/>
    <w:rsid w:val="004D2FF0"/>
    <w:rsid w:val="004E18BC"/>
    <w:rsid w:val="004F136E"/>
    <w:rsid w:val="00500BE3"/>
    <w:rsid w:val="00502C9E"/>
    <w:rsid w:val="0050509D"/>
    <w:rsid w:val="005163FD"/>
    <w:rsid w:val="00564BA9"/>
    <w:rsid w:val="00567626"/>
    <w:rsid w:val="0057262E"/>
    <w:rsid w:val="00576470"/>
    <w:rsid w:val="00580850"/>
    <w:rsid w:val="0059225B"/>
    <w:rsid w:val="0059593A"/>
    <w:rsid w:val="005B0C34"/>
    <w:rsid w:val="005E3B33"/>
    <w:rsid w:val="00605803"/>
    <w:rsid w:val="00616590"/>
    <w:rsid w:val="006312FD"/>
    <w:rsid w:val="00634F8C"/>
    <w:rsid w:val="006412EE"/>
    <w:rsid w:val="00683C7F"/>
    <w:rsid w:val="006E3EFD"/>
    <w:rsid w:val="007021A6"/>
    <w:rsid w:val="007044CC"/>
    <w:rsid w:val="00724ADB"/>
    <w:rsid w:val="00752444"/>
    <w:rsid w:val="007546C4"/>
    <w:rsid w:val="00794C39"/>
    <w:rsid w:val="00810A2C"/>
    <w:rsid w:val="0083466D"/>
    <w:rsid w:val="008359C1"/>
    <w:rsid w:val="00856473"/>
    <w:rsid w:val="00874C62"/>
    <w:rsid w:val="00890B1B"/>
    <w:rsid w:val="00894226"/>
    <w:rsid w:val="00921B0E"/>
    <w:rsid w:val="00981FA3"/>
    <w:rsid w:val="009978F4"/>
    <w:rsid w:val="009E0274"/>
    <w:rsid w:val="009E47D6"/>
    <w:rsid w:val="00A117D0"/>
    <w:rsid w:val="00A5582F"/>
    <w:rsid w:val="00A7574B"/>
    <w:rsid w:val="00A80B16"/>
    <w:rsid w:val="00AD12D9"/>
    <w:rsid w:val="00AF64CA"/>
    <w:rsid w:val="00B85795"/>
    <w:rsid w:val="00BC38A2"/>
    <w:rsid w:val="00C21EDC"/>
    <w:rsid w:val="00C24A1B"/>
    <w:rsid w:val="00C62C8A"/>
    <w:rsid w:val="00C64112"/>
    <w:rsid w:val="00C74BAE"/>
    <w:rsid w:val="00CB1C2C"/>
    <w:rsid w:val="00CD46D5"/>
    <w:rsid w:val="00CD703C"/>
    <w:rsid w:val="00CF1171"/>
    <w:rsid w:val="00CF26B8"/>
    <w:rsid w:val="00D1462B"/>
    <w:rsid w:val="00D46E1F"/>
    <w:rsid w:val="00D55D05"/>
    <w:rsid w:val="00D70192"/>
    <w:rsid w:val="00D73641"/>
    <w:rsid w:val="00DB2CCC"/>
    <w:rsid w:val="00DC22C2"/>
    <w:rsid w:val="00DD2BF6"/>
    <w:rsid w:val="00DF2102"/>
    <w:rsid w:val="00E139D6"/>
    <w:rsid w:val="00E243F8"/>
    <w:rsid w:val="00E312E1"/>
    <w:rsid w:val="00E4256C"/>
    <w:rsid w:val="00E43D83"/>
    <w:rsid w:val="00E5691A"/>
    <w:rsid w:val="00E8387D"/>
    <w:rsid w:val="00E9164A"/>
    <w:rsid w:val="00E96670"/>
    <w:rsid w:val="00EA1220"/>
    <w:rsid w:val="00EB1494"/>
    <w:rsid w:val="00EB186A"/>
    <w:rsid w:val="00F04092"/>
    <w:rsid w:val="00F357C4"/>
    <w:rsid w:val="00F40CFB"/>
    <w:rsid w:val="00F4450F"/>
    <w:rsid w:val="00F52CF2"/>
    <w:rsid w:val="00F555E4"/>
    <w:rsid w:val="00F92EF3"/>
    <w:rsid w:val="00FA344F"/>
    <w:rsid w:val="00FE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8F732"/>
  <w15:chartTrackingRefBased/>
  <w15:docId w15:val="{C7DE739E-C109-E74B-820A-388A2DB1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14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14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14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149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B149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B149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B149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B149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B149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494"/>
    <w:rPr>
      <w:rFonts w:eastAsiaTheme="majorEastAsia" w:cstheme="majorBidi"/>
      <w:color w:val="272727" w:themeColor="text1" w:themeTint="D8"/>
    </w:rPr>
  </w:style>
  <w:style w:type="paragraph" w:styleId="Title">
    <w:name w:val="Title"/>
    <w:basedOn w:val="Normal"/>
    <w:next w:val="Normal"/>
    <w:link w:val="TitleChar"/>
    <w:uiPriority w:val="10"/>
    <w:qFormat/>
    <w:rsid w:val="00EB14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4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49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B1494"/>
    <w:rPr>
      <w:i/>
      <w:iCs/>
      <w:color w:val="404040" w:themeColor="text1" w:themeTint="BF"/>
    </w:rPr>
  </w:style>
  <w:style w:type="paragraph" w:styleId="ListParagraph">
    <w:name w:val="List Paragraph"/>
    <w:basedOn w:val="Normal"/>
    <w:uiPriority w:val="34"/>
    <w:qFormat/>
    <w:rsid w:val="00EB149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B1494"/>
    <w:rPr>
      <w:i/>
      <w:iCs/>
      <w:color w:val="0F4761" w:themeColor="accent1" w:themeShade="BF"/>
    </w:rPr>
  </w:style>
  <w:style w:type="paragraph" w:styleId="IntenseQuote">
    <w:name w:val="Intense Quote"/>
    <w:basedOn w:val="Normal"/>
    <w:next w:val="Normal"/>
    <w:link w:val="IntenseQuoteChar"/>
    <w:uiPriority w:val="30"/>
    <w:qFormat/>
    <w:rsid w:val="00EB14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B1494"/>
    <w:rPr>
      <w:i/>
      <w:iCs/>
      <w:color w:val="0F4761" w:themeColor="accent1" w:themeShade="BF"/>
    </w:rPr>
  </w:style>
  <w:style w:type="character" w:styleId="IntenseReference">
    <w:name w:val="Intense Reference"/>
    <w:basedOn w:val="DefaultParagraphFont"/>
    <w:uiPriority w:val="32"/>
    <w:qFormat/>
    <w:rsid w:val="00EB1494"/>
    <w:rPr>
      <w:b/>
      <w:bCs/>
      <w:smallCaps/>
      <w:color w:val="0F4761" w:themeColor="accent1" w:themeShade="BF"/>
      <w:spacing w:val="5"/>
    </w:rPr>
  </w:style>
  <w:style w:type="paragraph" w:styleId="NormalWeb">
    <w:name w:val="Normal (Web)"/>
    <w:basedOn w:val="Normal"/>
    <w:uiPriority w:val="99"/>
    <w:unhideWhenUsed/>
    <w:rsid w:val="00EB1494"/>
    <w:pPr>
      <w:spacing w:before="100" w:beforeAutospacing="1" w:after="100" w:afterAutospacing="1"/>
    </w:pPr>
  </w:style>
  <w:style w:type="character" w:customStyle="1" w:styleId="apple-tab-span">
    <w:name w:val="apple-tab-span"/>
    <w:basedOn w:val="DefaultParagraphFont"/>
    <w:rsid w:val="00EB1494"/>
  </w:style>
  <w:style w:type="character" w:customStyle="1" w:styleId="apple-converted-space">
    <w:name w:val="apple-converted-space"/>
    <w:basedOn w:val="DefaultParagraphFont"/>
    <w:rsid w:val="00C21EDC"/>
  </w:style>
  <w:style w:type="character" w:customStyle="1" w:styleId="fui-buttonicon">
    <w:name w:val="fui-button__icon"/>
    <w:basedOn w:val="DefaultParagraphFont"/>
    <w:rsid w:val="00C21EDC"/>
  </w:style>
  <w:style w:type="character" w:styleId="Hyperlink">
    <w:name w:val="Hyperlink"/>
    <w:basedOn w:val="DefaultParagraphFont"/>
    <w:uiPriority w:val="99"/>
    <w:unhideWhenUsed/>
    <w:rsid w:val="00C21EDC"/>
    <w:rPr>
      <w:color w:val="0000FF"/>
      <w:u w:val="single"/>
    </w:rPr>
  </w:style>
  <w:style w:type="character" w:styleId="UnresolvedMention">
    <w:name w:val="Unresolved Mention"/>
    <w:basedOn w:val="DefaultParagraphFont"/>
    <w:uiPriority w:val="99"/>
    <w:semiHidden/>
    <w:unhideWhenUsed/>
    <w:rsid w:val="00D73641"/>
    <w:rPr>
      <w:color w:val="605E5C"/>
      <w:shd w:val="clear" w:color="auto" w:fill="E1DFDD"/>
    </w:rPr>
  </w:style>
  <w:style w:type="character" w:customStyle="1" w:styleId="mark10ji4lloz">
    <w:name w:val="mark10ji4lloz"/>
    <w:basedOn w:val="DefaultParagraphFont"/>
    <w:rsid w:val="00DB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7221">
      <w:bodyDiv w:val="1"/>
      <w:marLeft w:val="0"/>
      <w:marRight w:val="0"/>
      <w:marTop w:val="0"/>
      <w:marBottom w:val="0"/>
      <w:divBdr>
        <w:top w:val="none" w:sz="0" w:space="0" w:color="auto"/>
        <w:left w:val="none" w:sz="0" w:space="0" w:color="auto"/>
        <w:bottom w:val="none" w:sz="0" w:space="0" w:color="auto"/>
        <w:right w:val="none" w:sz="0" w:space="0" w:color="auto"/>
      </w:divBdr>
    </w:div>
    <w:div w:id="724187013">
      <w:bodyDiv w:val="1"/>
      <w:marLeft w:val="0"/>
      <w:marRight w:val="0"/>
      <w:marTop w:val="0"/>
      <w:marBottom w:val="0"/>
      <w:divBdr>
        <w:top w:val="none" w:sz="0" w:space="0" w:color="auto"/>
        <w:left w:val="none" w:sz="0" w:space="0" w:color="auto"/>
        <w:bottom w:val="none" w:sz="0" w:space="0" w:color="auto"/>
        <w:right w:val="none" w:sz="0" w:space="0" w:color="auto"/>
      </w:divBdr>
      <w:divsChild>
        <w:div w:id="908728643">
          <w:marLeft w:val="0"/>
          <w:marRight w:val="0"/>
          <w:marTop w:val="0"/>
          <w:marBottom w:val="0"/>
          <w:divBdr>
            <w:top w:val="none" w:sz="0" w:space="0" w:color="auto"/>
            <w:left w:val="none" w:sz="0" w:space="0" w:color="auto"/>
            <w:bottom w:val="none" w:sz="0" w:space="0" w:color="auto"/>
            <w:right w:val="none" w:sz="0" w:space="0" w:color="auto"/>
          </w:divBdr>
        </w:div>
      </w:divsChild>
    </w:div>
    <w:div w:id="972056530">
      <w:bodyDiv w:val="1"/>
      <w:marLeft w:val="0"/>
      <w:marRight w:val="0"/>
      <w:marTop w:val="0"/>
      <w:marBottom w:val="0"/>
      <w:divBdr>
        <w:top w:val="none" w:sz="0" w:space="0" w:color="auto"/>
        <w:left w:val="none" w:sz="0" w:space="0" w:color="auto"/>
        <w:bottom w:val="none" w:sz="0" w:space="0" w:color="auto"/>
        <w:right w:val="none" w:sz="0" w:space="0" w:color="auto"/>
      </w:divBdr>
    </w:div>
    <w:div w:id="1198471164">
      <w:bodyDiv w:val="1"/>
      <w:marLeft w:val="0"/>
      <w:marRight w:val="0"/>
      <w:marTop w:val="0"/>
      <w:marBottom w:val="0"/>
      <w:divBdr>
        <w:top w:val="none" w:sz="0" w:space="0" w:color="auto"/>
        <w:left w:val="none" w:sz="0" w:space="0" w:color="auto"/>
        <w:bottom w:val="none" w:sz="0" w:space="0" w:color="auto"/>
        <w:right w:val="none" w:sz="0" w:space="0" w:color="auto"/>
      </w:divBdr>
    </w:div>
    <w:div w:id="1366059302">
      <w:bodyDiv w:val="1"/>
      <w:marLeft w:val="0"/>
      <w:marRight w:val="0"/>
      <w:marTop w:val="0"/>
      <w:marBottom w:val="0"/>
      <w:divBdr>
        <w:top w:val="none" w:sz="0" w:space="0" w:color="auto"/>
        <w:left w:val="none" w:sz="0" w:space="0" w:color="auto"/>
        <w:bottom w:val="none" w:sz="0" w:space="0" w:color="auto"/>
        <w:right w:val="none" w:sz="0" w:space="0" w:color="auto"/>
      </w:divBdr>
      <w:divsChild>
        <w:div w:id="1831360473">
          <w:marLeft w:val="0"/>
          <w:marRight w:val="0"/>
          <w:marTop w:val="0"/>
          <w:marBottom w:val="0"/>
          <w:divBdr>
            <w:top w:val="none" w:sz="0" w:space="0" w:color="auto"/>
            <w:left w:val="none" w:sz="0" w:space="0" w:color="auto"/>
            <w:bottom w:val="none" w:sz="0" w:space="0" w:color="auto"/>
            <w:right w:val="none" w:sz="0" w:space="0" w:color="auto"/>
          </w:divBdr>
        </w:div>
        <w:div w:id="929310331">
          <w:marLeft w:val="0"/>
          <w:marRight w:val="0"/>
          <w:marTop w:val="0"/>
          <w:marBottom w:val="0"/>
          <w:divBdr>
            <w:top w:val="none" w:sz="0" w:space="0" w:color="auto"/>
            <w:left w:val="none" w:sz="0" w:space="0" w:color="auto"/>
            <w:bottom w:val="none" w:sz="0" w:space="0" w:color="auto"/>
            <w:right w:val="none" w:sz="0" w:space="0" w:color="auto"/>
          </w:divBdr>
          <w:divsChild>
            <w:div w:id="144901091">
              <w:marLeft w:val="0"/>
              <w:marRight w:val="0"/>
              <w:marTop w:val="0"/>
              <w:marBottom w:val="0"/>
              <w:divBdr>
                <w:top w:val="none" w:sz="0" w:space="0" w:color="auto"/>
                <w:left w:val="none" w:sz="0" w:space="0" w:color="auto"/>
                <w:bottom w:val="none" w:sz="0" w:space="0" w:color="auto"/>
                <w:right w:val="none" w:sz="0" w:space="0" w:color="auto"/>
              </w:divBdr>
              <w:divsChild>
                <w:div w:id="1283076671">
                  <w:marLeft w:val="0"/>
                  <w:marRight w:val="0"/>
                  <w:marTop w:val="0"/>
                  <w:marBottom w:val="0"/>
                  <w:divBdr>
                    <w:top w:val="none" w:sz="0" w:space="0" w:color="auto"/>
                    <w:left w:val="none" w:sz="0" w:space="0" w:color="auto"/>
                    <w:bottom w:val="none" w:sz="0" w:space="0" w:color="auto"/>
                    <w:right w:val="none" w:sz="0" w:space="0" w:color="auto"/>
                  </w:divBdr>
                </w:div>
                <w:div w:id="545219428">
                  <w:marLeft w:val="0"/>
                  <w:marRight w:val="0"/>
                  <w:marTop w:val="0"/>
                  <w:marBottom w:val="0"/>
                  <w:divBdr>
                    <w:top w:val="none" w:sz="0" w:space="0" w:color="auto"/>
                    <w:left w:val="none" w:sz="0" w:space="0" w:color="auto"/>
                    <w:bottom w:val="none" w:sz="0" w:space="0" w:color="auto"/>
                    <w:right w:val="none" w:sz="0" w:space="0" w:color="auto"/>
                  </w:divBdr>
                </w:div>
                <w:div w:id="178324957">
                  <w:marLeft w:val="0"/>
                  <w:marRight w:val="0"/>
                  <w:marTop w:val="0"/>
                  <w:marBottom w:val="0"/>
                  <w:divBdr>
                    <w:top w:val="none" w:sz="0" w:space="0" w:color="auto"/>
                    <w:left w:val="none" w:sz="0" w:space="0" w:color="auto"/>
                    <w:bottom w:val="none" w:sz="0" w:space="0" w:color="auto"/>
                    <w:right w:val="none" w:sz="0" w:space="0" w:color="auto"/>
                  </w:divBdr>
                </w:div>
                <w:div w:id="18408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3695">
      <w:bodyDiv w:val="1"/>
      <w:marLeft w:val="0"/>
      <w:marRight w:val="0"/>
      <w:marTop w:val="0"/>
      <w:marBottom w:val="0"/>
      <w:divBdr>
        <w:top w:val="none" w:sz="0" w:space="0" w:color="auto"/>
        <w:left w:val="none" w:sz="0" w:space="0" w:color="auto"/>
        <w:bottom w:val="none" w:sz="0" w:space="0" w:color="auto"/>
        <w:right w:val="none" w:sz="0" w:space="0" w:color="auto"/>
      </w:divBdr>
    </w:div>
    <w:div w:id="1937788776">
      <w:bodyDiv w:val="1"/>
      <w:marLeft w:val="0"/>
      <w:marRight w:val="0"/>
      <w:marTop w:val="0"/>
      <w:marBottom w:val="0"/>
      <w:divBdr>
        <w:top w:val="none" w:sz="0" w:space="0" w:color="auto"/>
        <w:left w:val="none" w:sz="0" w:space="0" w:color="auto"/>
        <w:bottom w:val="none" w:sz="0" w:space="0" w:color="auto"/>
        <w:right w:val="none" w:sz="0" w:space="0" w:color="auto"/>
      </w:divBdr>
      <w:divsChild>
        <w:div w:id="175115922">
          <w:marLeft w:val="0"/>
          <w:marRight w:val="0"/>
          <w:marTop w:val="0"/>
          <w:marBottom w:val="0"/>
          <w:divBdr>
            <w:top w:val="none" w:sz="0" w:space="0" w:color="auto"/>
            <w:left w:val="none" w:sz="0" w:space="0" w:color="auto"/>
            <w:bottom w:val="none" w:sz="0" w:space="0" w:color="auto"/>
            <w:right w:val="none" w:sz="0" w:space="0" w:color="auto"/>
          </w:divBdr>
          <w:divsChild>
            <w:div w:id="1674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7772795" TargetMode="External"/><Relationship Id="rId3" Type="http://schemas.openxmlformats.org/officeDocument/2006/relationships/settings" Target="settings.xml"/><Relationship Id="rId7" Type="http://schemas.openxmlformats.org/officeDocument/2006/relationships/hyperlink" Target="https://municipal.codes/WI/WSA/943.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unicipal.codes/WI/WSA/943.13" TargetMode="External"/><Relationship Id="rId5" Type="http://schemas.openxmlformats.org/officeDocument/2006/relationships/hyperlink" Target="https://municipal.codes/WI/WSA/943.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65F-C335-B945-BD2B-18247196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Ann-Elise Henzl</dc:creator>
  <cp:keywords/>
  <dc:description/>
  <cp:lastModifiedBy>Susan M Bence</cp:lastModifiedBy>
  <cp:revision>2</cp:revision>
  <cp:lastPrinted>2025-11-25T17:31:00Z</cp:lastPrinted>
  <dcterms:created xsi:type="dcterms:W3CDTF">2025-12-01T15:22:00Z</dcterms:created>
  <dcterms:modified xsi:type="dcterms:W3CDTF">2025-12-01T15:22:00Z</dcterms:modified>
</cp:coreProperties>
</file>