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sz w:val="20"/>
        </w:rPr>
      </w:pPr>
      <w:r>
        <w:rPr>
          <w:sz w:val="20"/>
        </w:rPr>
        <w:drawing>
          <wp:inline distT="0" distB="0" distL="0" distR="0">
            <wp:extent cx="6975181" cy="1202817"/>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975181" cy="1202817"/>
                    </a:xfrm>
                    <a:prstGeom prst="rect">
                      <a:avLst/>
                    </a:prstGeom>
                  </pic:spPr>
                </pic:pic>
              </a:graphicData>
            </a:graphic>
          </wp:inline>
        </w:drawing>
      </w:r>
      <w:r>
        <w:rPr>
          <w:sz w:val="20"/>
        </w:rPr>
      </w:r>
    </w:p>
    <w:p>
      <w:pPr>
        <w:pStyle w:val="BodyText"/>
        <w:tabs>
          <w:tab w:pos="8779" w:val="left" w:leader="none"/>
        </w:tabs>
        <w:spacing w:before="233"/>
        <w:ind w:left="432"/>
      </w:pPr>
      <w:r>
        <w:rPr/>
        <w:t>No:</w:t>
      </w:r>
      <w:r>
        <w:rPr>
          <w:spacing w:val="-2"/>
        </w:rPr>
        <w:t> </w:t>
      </w:r>
      <w:r>
        <w:rPr/>
        <w:t>25-</w:t>
      </w:r>
      <w:r>
        <w:rPr>
          <w:spacing w:val="-5"/>
        </w:rPr>
        <w:t>046</w:t>
      </w:r>
      <w:r>
        <w:rPr/>
        <w:tab/>
        <w:t>July</w:t>
      </w:r>
      <w:r>
        <w:rPr>
          <w:spacing w:val="-2"/>
        </w:rPr>
        <w:t> </w:t>
      </w:r>
      <w:r>
        <w:rPr/>
        <w:t>24, </w:t>
      </w:r>
      <w:r>
        <w:rPr>
          <w:spacing w:val="-4"/>
        </w:rPr>
        <w:t>2025</w:t>
      </w:r>
    </w:p>
    <w:p>
      <w:pPr>
        <w:pStyle w:val="BodyText"/>
        <w:spacing w:before="0"/>
        <w:ind w:left="431"/>
      </w:pPr>
      <w:r>
        <w:rPr/>
        <w:t>CONTACT:</w:t>
      </w:r>
      <w:r>
        <w:rPr>
          <w:spacing w:val="-4"/>
        </w:rPr>
        <w:t> </w:t>
      </w:r>
      <w:hyperlink r:id="rId6">
        <w:r>
          <w:rPr>
            <w:color w:val="0000FF"/>
            <w:u w:val="single" w:color="0000FF"/>
          </w:rPr>
          <w:t>Maureen</w:t>
        </w:r>
        <w:r>
          <w:rPr>
            <w:color w:val="0000FF"/>
            <w:spacing w:val="-4"/>
            <w:u w:val="single" w:color="0000FF"/>
          </w:rPr>
          <w:t> </w:t>
        </w:r>
        <w:r>
          <w:rPr>
            <w:color w:val="0000FF"/>
            <w:u w:val="single" w:color="0000FF"/>
          </w:rPr>
          <w:t>Conley</w:t>
        </w:r>
        <w:r>
          <w:rPr>
            <w:u w:val="none"/>
          </w:rPr>
          <w:t>,</w:t>
        </w:r>
      </w:hyperlink>
      <w:r>
        <w:rPr>
          <w:spacing w:val="-3"/>
          <w:u w:val="none"/>
        </w:rPr>
        <w:t> </w:t>
      </w:r>
      <w:r>
        <w:rPr>
          <w:u w:val="none"/>
        </w:rPr>
        <w:t>301-415-</w:t>
      </w:r>
      <w:r>
        <w:rPr>
          <w:spacing w:val="-4"/>
          <w:u w:val="none"/>
        </w:rPr>
        <w:t>8200</w:t>
      </w:r>
    </w:p>
    <w:p>
      <w:pPr>
        <w:pStyle w:val="Title"/>
      </w:pPr>
      <w:bookmarkStart w:name="NRC Approves Major Licensing Actions" w:id="1"/>
      <w:bookmarkEnd w:id="1"/>
      <w:r>
        <w:rPr>
          <w:b w:val="0"/>
        </w:rPr>
      </w:r>
      <w:r>
        <w:rPr/>
        <w:t>NRC</w:t>
      </w:r>
      <w:r>
        <w:rPr>
          <w:spacing w:val="-9"/>
        </w:rPr>
        <w:t> </w:t>
      </w:r>
      <w:r>
        <w:rPr/>
        <w:t>Approves</w:t>
      </w:r>
      <w:r>
        <w:rPr>
          <w:spacing w:val="-9"/>
        </w:rPr>
        <w:t> </w:t>
      </w:r>
      <w:r>
        <w:rPr/>
        <w:t>Major</w:t>
      </w:r>
      <w:r>
        <w:rPr>
          <w:spacing w:val="-11"/>
        </w:rPr>
        <w:t> </w:t>
      </w:r>
      <w:r>
        <w:rPr/>
        <w:t>Licensing</w:t>
      </w:r>
      <w:r>
        <w:rPr>
          <w:spacing w:val="-8"/>
        </w:rPr>
        <w:t> </w:t>
      </w:r>
      <w:r>
        <w:rPr/>
        <w:t>Actions </w:t>
      </w:r>
      <w:bookmarkStart w:name="Required for Restart of Palisades NPP" w:id="2"/>
      <w:bookmarkEnd w:id="2"/>
      <w:r>
        <w:rPr/>
        <w:t>Req</w:t>
      </w:r>
      <w:r>
        <w:rPr/>
        <w:t>uired for Restart of Palisades NPP</w:t>
      </w:r>
    </w:p>
    <w:p>
      <w:pPr>
        <w:pStyle w:val="BodyText"/>
        <w:spacing w:before="238"/>
        <w:ind w:right="910" w:firstLine="720"/>
      </w:pPr>
      <w:r>
        <w:rPr/>
        <w:t>The Nuclear Regulatory Commission has </w:t>
      </w:r>
      <w:hyperlink r:id="rId7">
        <w:r>
          <w:rPr>
            <w:color w:val="0000FF"/>
            <w:u w:val="single" w:color="0000FF"/>
          </w:rPr>
          <w:t>approved</w:t>
        </w:r>
      </w:hyperlink>
      <w:r>
        <w:rPr>
          <w:color w:val="0000FF"/>
          <w:u w:val="none"/>
        </w:rPr>
        <w:t> </w:t>
      </w:r>
      <w:r>
        <w:rPr>
          <w:u w:val="none"/>
        </w:rPr>
        <w:t>a series of licensing and regulatory actions that will pave the way for restart of the Palisades Nuclear Plant. The pressurized-water reactor</w:t>
      </w:r>
      <w:r>
        <w:rPr>
          <w:spacing w:val="-4"/>
          <w:u w:val="none"/>
        </w:rPr>
        <w:t> </w:t>
      </w:r>
      <w:r>
        <w:rPr>
          <w:u w:val="none"/>
        </w:rPr>
        <w:t>located</w:t>
      </w:r>
      <w:r>
        <w:rPr>
          <w:spacing w:val="-3"/>
          <w:u w:val="none"/>
        </w:rPr>
        <w:t> </w:t>
      </w:r>
      <w:r>
        <w:rPr>
          <w:u w:val="none"/>
        </w:rPr>
        <w:t>in</w:t>
      </w:r>
      <w:r>
        <w:rPr>
          <w:spacing w:val="-3"/>
          <w:u w:val="none"/>
        </w:rPr>
        <w:t> </w:t>
      </w:r>
      <w:r>
        <w:rPr>
          <w:u w:val="none"/>
        </w:rPr>
        <w:t>Covert,</w:t>
      </w:r>
      <w:r>
        <w:rPr>
          <w:spacing w:val="-3"/>
          <w:u w:val="none"/>
        </w:rPr>
        <w:t> </w:t>
      </w:r>
      <w:r>
        <w:rPr>
          <w:u w:val="none"/>
        </w:rPr>
        <w:t>Michigan,</w:t>
      </w:r>
      <w:r>
        <w:rPr>
          <w:spacing w:val="-3"/>
          <w:u w:val="none"/>
        </w:rPr>
        <w:t> </w:t>
      </w:r>
      <w:r>
        <w:rPr>
          <w:u w:val="none"/>
        </w:rPr>
        <w:t>ceased</w:t>
      </w:r>
      <w:r>
        <w:rPr>
          <w:spacing w:val="-3"/>
          <w:u w:val="none"/>
        </w:rPr>
        <w:t> </w:t>
      </w:r>
      <w:r>
        <w:rPr>
          <w:u w:val="none"/>
        </w:rPr>
        <w:t>operations</w:t>
      </w:r>
      <w:r>
        <w:rPr>
          <w:spacing w:val="-3"/>
          <w:u w:val="none"/>
        </w:rPr>
        <w:t> </w:t>
      </w:r>
      <w:r>
        <w:rPr>
          <w:u w:val="none"/>
        </w:rPr>
        <w:t>in</w:t>
      </w:r>
      <w:r>
        <w:rPr>
          <w:spacing w:val="-3"/>
          <w:u w:val="none"/>
        </w:rPr>
        <w:t> </w:t>
      </w:r>
      <w:r>
        <w:rPr>
          <w:u w:val="none"/>
        </w:rPr>
        <w:t>May</w:t>
      </w:r>
      <w:r>
        <w:rPr>
          <w:spacing w:val="-3"/>
          <w:u w:val="none"/>
        </w:rPr>
        <w:t> </w:t>
      </w:r>
      <w:r>
        <w:rPr>
          <w:u w:val="none"/>
        </w:rPr>
        <w:t>2022.</w:t>
      </w:r>
      <w:r>
        <w:rPr>
          <w:spacing w:val="-3"/>
          <w:u w:val="none"/>
        </w:rPr>
        <w:t> </w:t>
      </w:r>
      <w:r>
        <w:rPr>
          <w:u w:val="none"/>
        </w:rPr>
        <w:t>In</w:t>
      </w:r>
      <w:r>
        <w:rPr>
          <w:spacing w:val="-3"/>
          <w:u w:val="none"/>
        </w:rPr>
        <w:t> </w:t>
      </w:r>
      <w:r>
        <w:rPr>
          <w:u w:val="none"/>
        </w:rPr>
        <w:t>late</w:t>
      </w:r>
      <w:r>
        <w:rPr>
          <w:spacing w:val="-2"/>
          <w:u w:val="none"/>
        </w:rPr>
        <w:t> </w:t>
      </w:r>
      <w:r>
        <w:rPr>
          <w:u w:val="none"/>
        </w:rPr>
        <w:t>2023,</w:t>
      </w:r>
      <w:r>
        <w:rPr>
          <w:spacing w:val="-3"/>
          <w:u w:val="none"/>
        </w:rPr>
        <w:t> </w:t>
      </w:r>
      <w:r>
        <w:rPr>
          <w:u w:val="none"/>
        </w:rPr>
        <w:t>Holtec</w:t>
      </w:r>
      <w:r>
        <w:rPr>
          <w:spacing w:val="-4"/>
          <w:u w:val="none"/>
        </w:rPr>
        <w:t> </w:t>
      </w:r>
      <w:r>
        <w:rPr>
          <w:u w:val="none"/>
        </w:rPr>
        <w:t>began filing licensing and regulatory requests to support returning the plant to operational status.</w:t>
      </w:r>
    </w:p>
    <w:p>
      <w:pPr>
        <w:pStyle w:val="BodyText"/>
        <w:ind w:right="910" w:firstLine="720"/>
      </w:pPr>
      <w:r>
        <w:rPr/>
        <w:t>While</w:t>
      </w:r>
      <w:r>
        <w:rPr>
          <w:spacing w:val="-4"/>
        </w:rPr>
        <w:t> </w:t>
      </w:r>
      <w:r>
        <w:rPr/>
        <w:t>these</w:t>
      </w:r>
      <w:r>
        <w:rPr>
          <w:spacing w:val="-4"/>
        </w:rPr>
        <w:t> </w:t>
      </w:r>
      <w:r>
        <w:rPr/>
        <w:t>NRC</w:t>
      </w:r>
      <w:r>
        <w:rPr>
          <w:spacing w:val="-3"/>
        </w:rPr>
        <w:t> </w:t>
      </w:r>
      <w:r>
        <w:rPr/>
        <w:t>approvals</w:t>
      </w:r>
      <w:r>
        <w:rPr>
          <w:spacing w:val="-3"/>
        </w:rPr>
        <w:t> </w:t>
      </w:r>
      <w:r>
        <w:rPr/>
        <w:t>will</w:t>
      </w:r>
      <w:r>
        <w:rPr>
          <w:spacing w:val="-3"/>
        </w:rPr>
        <w:t> </w:t>
      </w:r>
      <w:r>
        <w:rPr/>
        <w:t>allow</w:t>
      </w:r>
      <w:r>
        <w:rPr>
          <w:spacing w:val="-4"/>
        </w:rPr>
        <w:t> </w:t>
      </w:r>
      <w:r>
        <w:rPr/>
        <w:t>Holtec</w:t>
      </w:r>
      <w:r>
        <w:rPr>
          <w:spacing w:val="-4"/>
        </w:rPr>
        <w:t> </w:t>
      </w:r>
      <w:r>
        <w:rPr/>
        <w:t>to</w:t>
      </w:r>
      <w:r>
        <w:rPr>
          <w:spacing w:val="-3"/>
        </w:rPr>
        <w:t> </w:t>
      </w:r>
      <w:r>
        <w:rPr/>
        <w:t>load</w:t>
      </w:r>
      <w:r>
        <w:rPr>
          <w:spacing w:val="-3"/>
        </w:rPr>
        <w:t> </w:t>
      </w:r>
      <w:r>
        <w:rPr/>
        <w:t>fuel,</w:t>
      </w:r>
      <w:r>
        <w:rPr>
          <w:spacing w:val="-3"/>
        </w:rPr>
        <w:t> </w:t>
      </w:r>
      <w:r>
        <w:rPr/>
        <w:t>there</w:t>
      </w:r>
      <w:r>
        <w:rPr>
          <w:spacing w:val="-4"/>
        </w:rPr>
        <w:t> </w:t>
      </w:r>
      <w:r>
        <w:rPr/>
        <w:t>are</w:t>
      </w:r>
      <w:r>
        <w:rPr>
          <w:spacing w:val="-4"/>
        </w:rPr>
        <w:t> </w:t>
      </w:r>
      <w:r>
        <w:rPr/>
        <w:t>still</w:t>
      </w:r>
      <w:r>
        <w:rPr>
          <w:spacing w:val="-3"/>
        </w:rPr>
        <w:t> </w:t>
      </w:r>
      <w:r>
        <w:rPr/>
        <w:t>several</w:t>
      </w:r>
      <w:r>
        <w:rPr>
          <w:spacing w:val="-3"/>
        </w:rPr>
        <w:t> </w:t>
      </w:r>
      <w:r>
        <w:rPr/>
        <w:t>licensing actions under NRC review and additional requirements that need to be met before the plant can start up under the original operating license, which would expire March 24, 2031.</w:t>
      </w:r>
    </w:p>
    <w:p>
      <w:pPr>
        <w:pStyle w:val="BodyText"/>
        <w:ind w:right="1136" w:firstLine="720"/>
      </w:pPr>
      <w:r>
        <w:rPr/>
        <w:t>Following</w:t>
      </w:r>
      <w:r>
        <w:rPr>
          <w:spacing w:val="-4"/>
        </w:rPr>
        <w:t> </w:t>
      </w:r>
      <w:r>
        <w:rPr/>
        <w:t>technical</w:t>
      </w:r>
      <w:r>
        <w:rPr>
          <w:spacing w:val="-4"/>
        </w:rPr>
        <w:t> </w:t>
      </w:r>
      <w:r>
        <w:rPr/>
        <w:t>reviews</w:t>
      </w:r>
      <w:r>
        <w:rPr>
          <w:spacing w:val="-4"/>
        </w:rPr>
        <w:t> </w:t>
      </w:r>
      <w:r>
        <w:rPr/>
        <w:t>that</w:t>
      </w:r>
      <w:r>
        <w:rPr>
          <w:spacing w:val="-4"/>
        </w:rPr>
        <w:t> </w:t>
      </w:r>
      <w:r>
        <w:rPr/>
        <w:t>were</w:t>
      </w:r>
      <w:r>
        <w:rPr>
          <w:spacing w:val="-3"/>
        </w:rPr>
        <w:t> </w:t>
      </w:r>
      <w:r>
        <w:rPr/>
        <w:t>completed</w:t>
      </w:r>
      <w:r>
        <w:rPr>
          <w:spacing w:val="-4"/>
        </w:rPr>
        <w:t> </w:t>
      </w:r>
      <w:r>
        <w:rPr/>
        <w:t>on</w:t>
      </w:r>
      <w:r>
        <w:rPr>
          <w:spacing w:val="-4"/>
        </w:rPr>
        <w:t> </w:t>
      </w:r>
      <w:r>
        <w:rPr/>
        <w:t>schedule,</w:t>
      </w:r>
      <w:r>
        <w:rPr>
          <w:spacing w:val="-4"/>
        </w:rPr>
        <w:t> </w:t>
      </w:r>
      <w:r>
        <w:rPr/>
        <w:t>the</w:t>
      </w:r>
      <w:r>
        <w:rPr>
          <w:spacing w:val="-5"/>
        </w:rPr>
        <w:t> </w:t>
      </w:r>
      <w:r>
        <w:rPr/>
        <w:t>NRC</w:t>
      </w:r>
      <w:r>
        <w:rPr>
          <w:spacing w:val="-4"/>
        </w:rPr>
        <w:t> </w:t>
      </w:r>
      <w:r>
        <w:rPr/>
        <w:t>has</w:t>
      </w:r>
      <w:r>
        <w:rPr>
          <w:spacing w:val="-2"/>
        </w:rPr>
        <w:t> </w:t>
      </w:r>
      <w:r>
        <w:rPr/>
        <w:t>approved</w:t>
      </w:r>
      <w:r>
        <w:rPr>
          <w:spacing w:val="-4"/>
        </w:rPr>
        <w:t> </w:t>
      </w:r>
      <w:r>
        <w:rPr/>
        <w:t>the transfer of operating authority for the plant and its independent spent fuel storage facility from Holtec Decommissioning International LLC to Palisades Energy LLC. The NRC has also approved Holtec’s request to reinstate various documents and programs that were in place prior to shut down. Among these are the technical specifications, emergency plan, emergency action levels, and physical security plan, as well as programs for quality assurance, maintenance, and inservice inspections. A </w:t>
      </w:r>
      <w:hyperlink r:id="rId8">
        <w:r>
          <w:rPr>
            <w:color w:val="0000FF"/>
            <w:u w:val="single" w:color="0000FF"/>
          </w:rPr>
          <w:t>May 2025 report</w:t>
        </w:r>
      </w:hyperlink>
      <w:r>
        <w:rPr>
          <w:color w:val="0000FF"/>
          <w:u w:val="none"/>
        </w:rPr>
        <w:t> </w:t>
      </w:r>
      <w:r>
        <w:rPr>
          <w:u w:val="none"/>
        </w:rPr>
        <w:t>contains the NRC staff’s evaluation and conclusion that there are no significant environmental impacts from restarting Palisades.</w:t>
      </w:r>
    </w:p>
    <w:p>
      <w:pPr>
        <w:pStyle w:val="BodyText"/>
        <w:ind w:left="0" w:right="379"/>
        <w:jc w:val="center"/>
      </w:pPr>
      <w:r>
        <w:rPr/>
        <w:t>More</w:t>
      </w:r>
      <w:r>
        <w:rPr>
          <w:spacing w:val="-3"/>
        </w:rPr>
        <w:t> </w:t>
      </w:r>
      <w:r>
        <w:rPr/>
        <w:t>information</w:t>
      </w:r>
      <w:r>
        <w:rPr>
          <w:spacing w:val="-1"/>
        </w:rPr>
        <w:t> </w:t>
      </w:r>
      <w:r>
        <w:rPr/>
        <w:t>on</w:t>
      </w:r>
      <w:r>
        <w:rPr>
          <w:spacing w:val="-1"/>
        </w:rPr>
        <w:t> </w:t>
      </w:r>
      <w:r>
        <w:rPr/>
        <w:t>the Palisades</w:t>
      </w:r>
      <w:r>
        <w:rPr>
          <w:spacing w:val="-1"/>
        </w:rPr>
        <w:t> </w:t>
      </w:r>
      <w:r>
        <w:rPr/>
        <w:t>restart</w:t>
      </w:r>
      <w:r>
        <w:rPr>
          <w:spacing w:val="-1"/>
        </w:rPr>
        <w:t> </w:t>
      </w:r>
      <w:r>
        <w:rPr/>
        <w:t>review</w:t>
      </w:r>
      <w:r>
        <w:rPr>
          <w:spacing w:val="-3"/>
        </w:rPr>
        <w:t> </w:t>
      </w:r>
      <w:r>
        <w:rPr/>
        <w:t>is</w:t>
      </w:r>
      <w:r>
        <w:rPr>
          <w:spacing w:val="-1"/>
        </w:rPr>
        <w:t> </w:t>
      </w:r>
      <w:r>
        <w:rPr/>
        <w:t>available</w:t>
      </w:r>
      <w:r>
        <w:rPr>
          <w:spacing w:val="-2"/>
        </w:rPr>
        <w:t> </w:t>
      </w:r>
      <w:r>
        <w:rPr/>
        <w:t>on</w:t>
      </w:r>
      <w:r>
        <w:rPr>
          <w:spacing w:val="-1"/>
        </w:rPr>
        <w:t> </w:t>
      </w:r>
      <w:r>
        <w:rPr/>
        <w:t>the</w:t>
      </w:r>
      <w:r>
        <w:rPr>
          <w:spacing w:val="-2"/>
        </w:rPr>
        <w:t> </w:t>
      </w:r>
      <w:r>
        <w:rPr/>
        <w:t>NRC</w:t>
      </w:r>
      <w:r>
        <w:rPr>
          <w:spacing w:val="2"/>
        </w:rPr>
        <w:t> </w:t>
      </w:r>
      <w:hyperlink r:id="rId9">
        <w:r>
          <w:rPr>
            <w:color w:val="0000FF"/>
            <w:spacing w:val="-2"/>
            <w:u w:val="single" w:color="0000FF"/>
          </w:rPr>
          <w:t>website</w:t>
        </w:r>
      </w:hyperlink>
      <w:r>
        <w:rPr>
          <w:spacing w:val="-2"/>
          <w:u w:val="none"/>
        </w:rPr>
        <w:t>.</w:t>
      </w:r>
    </w:p>
    <w:sectPr>
      <w:type w:val="continuous"/>
      <w:pgSz w:w="12240" w:h="15840"/>
      <w:pgMar w:top="780" w:bottom="2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240"/>
      <w:ind w:left="719"/>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240"/>
      <w:ind w:left="2626" w:right="3073"/>
      <w:jc w:val="center"/>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OPA.Resource@nrc.gov" TargetMode="External"/><Relationship Id="rId7" Type="http://schemas.openxmlformats.org/officeDocument/2006/relationships/hyperlink" Target="https://www.nrc.gov/docs/ML2516/ML25163A182.pdf" TargetMode="External"/><Relationship Id="rId8" Type="http://schemas.openxmlformats.org/officeDocument/2006/relationships/hyperlink" Target="https://www.nrc.gov/docs/ML2511/ML25111A031.pdf" TargetMode="External"/><Relationship Id="rId9" Type="http://schemas.openxmlformats.org/officeDocument/2006/relationships/hyperlink" Target="https://www.nrc.gov/info-finder/reactors/pal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USNRC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 Ellis</dc:creator>
  <dcterms:created xsi:type="dcterms:W3CDTF">2025-07-24T19:03:59Z</dcterms:created>
  <dcterms:modified xsi:type="dcterms:W3CDTF">2025-07-24T19:03:59Z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0x01010000AD9FF535D0CB448D4B86543AC0D69B</vt:lpwstr>
  </property>
  <property fmtid="{D5CDD505-2E9C-101B-9397-08002B2CF9AE}" pid="3" name="Created">
    <vt:filetime>2025-07-24T00:00:00Z</vt:filetime>
  </property>
  <property fmtid="{D5CDD505-2E9C-101B-9397-08002B2CF9AE}" pid="4" name="Creator">
    <vt:lpwstr>Acrobat PDFMaker 25 for Word</vt:lpwstr>
  </property>
  <property fmtid="{D5CDD505-2E9C-101B-9397-08002B2CF9AE}" pid="5" name="LastSaved">
    <vt:filetime>2025-07-24T00:00:00Z</vt:filetime>
  </property>
  <property fmtid="{D5CDD505-2E9C-101B-9397-08002B2CF9AE}" pid="6" name="MediaServiceImageTags">
    <vt:lpwstr/>
  </property>
  <property fmtid="{D5CDD505-2E9C-101B-9397-08002B2CF9AE}" pid="7" name="Producer">
    <vt:lpwstr>Adobe PDF Library 25.1.51</vt:lpwstr>
  </property>
  <property fmtid="{D5CDD505-2E9C-101B-9397-08002B2CF9AE}" pid="8" name="SourceModified">
    <vt:lpwstr/>
  </property>
</Properties>
</file>