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DDDF" w14:textId="4B002AE6" w:rsidR="00882A4C" w:rsidRPr="00A91E50" w:rsidRDefault="0086338B" w:rsidP="000A0BCA">
      <w:pPr>
        <w:jc w:val="both"/>
        <w:rPr>
          <w:rStyle w:val="IntenseEmphasis"/>
        </w:rPr>
      </w:pPr>
      <w:r w:rsidRPr="00A91E50">
        <w:rPr>
          <w:rStyle w:val="IntenseEmphasis"/>
        </w:rPr>
        <w:t>Key finding 1:  What is the most acute problem</w:t>
      </w:r>
      <w:r w:rsidR="00A91E50">
        <w:rPr>
          <w:rStyle w:val="IntenseEmphasis"/>
        </w:rPr>
        <w:t xml:space="preserve"> </w:t>
      </w:r>
      <w:r w:rsidR="00911B8C">
        <w:rPr>
          <w:rStyle w:val="IntenseEmphasis"/>
        </w:rPr>
        <w:t>related to gangs/violence</w:t>
      </w:r>
      <w:r w:rsidRPr="00A91E50">
        <w:rPr>
          <w:rStyle w:val="IntenseEmphasis"/>
        </w:rPr>
        <w:t xml:space="preserve"> and where is it most acute?</w:t>
      </w:r>
    </w:p>
    <w:p w14:paraId="440BEBE0" w14:textId="08E32FAA" w:rsidR="00E00037" w:rsidRDefault="00E00037" w:rsidP="00A32D8D">
      <w:pPr>
        <w:spacing w:after="0"/>
        <w:jc w:val="both"/>
      </w:pPr>
      <w:r w:rsidRPr="00F506D2">
        <w:rPr>
          <w:rStyle w:val="Heading2Char"/>
        </w:rPr>
        <w:t>Key finding 1:</w:t>
      </w:r>
      <w:r>
        <w:t xml:space="preserve">  </w:t>
      </w:r>
      <w:r w:rsidRPr="000A0BCA">
        <w:rPr>
          <w:rStyle w:val="Emphasis"/>
        </w:rPr>
        <w:t xml:space="preserve">At least </w:t>
      </w:r>
      <w:r w:rsidR="00330E07">
        <w:rPr>
          <w:rStyle w:val="Emphasis"/>
        </w:rPr>
        <w:t>12</w:t>
      </w:r>
      <w:r w:rsidRPr="000A0BCA">
        <w:rPr>
          <w:rStyle w:val="Emphasis"/>
        </w:rPr>
        <w:t xml:space="preserve"> census tracts/neighborhoods in Durham are </w:t>
      </w:r>
      <w:r w:rsidR="007027A2" w:rsidRPr="000A0BCA">
        <w:rPr>
          <w:rStyle w:val="Emphasis"/>
        </w:rPr>
        <w:t>currently affected</w:t>
      </w:r>
      <w:r w:rsidRPr="000A0BCA">
        <w:rPr>
          <w:rStyle w:val="Emphasis"/>
        </w:rPr>
        <w:t xml:space="preserve"> by </w:t>
      </w:r>
      <w:r w:rsidR="007027A2" w:rsidRPr="000A0BCA">
        <w:rPr>
          <w:rStyle w:val="Emphasis"/>
        </w:rPr>
        <w:t>excessively</w:t>
      </w:r>
      <w:r w:rsidRPr="000A0BCA">
        <w:rPr>
          <w:rStyle w:val="Emphasis"/>
        </w:rPr>
        <w:t xml:space="preserve"> high rates of serious interpersonal violence (aggravated assault and homicide)</w:t>
      </w:r>
      <w:r w:rsidR="00330E07">
        <w:rPr>
          <w:rStyle w:val="Emphasis"/>
        </w:rPr>
        <w:t xml:space="preserve"> that are times higher than Durham’s overall rate per capita of these crimes</w:t>
      </w:r>
      <w:r w:rsidR="007027A2" w:rsidRPr="000A0BCA">
        <w:rPr>
          <w:rStyle w:val="Emphasis"/>
        </w:rPr>
        <w:t xml:space="preserve">.  Eight of these census tracts have experienced </w:t>
      </w:r>
      <w:r w:rsidR="00882A4C">
        <w:rPr>
          <w:rStyle w:val="Emphasis"/>
        </w:rPr>
        <w:t>high rates of violence</w:t>
      </w:r>
      <w:r w:rsidR="007027A2" w:rsidRPr="000A0BCA">
        <w:rPr>
          <w:rStyle w:val="Emphasis"/>
        </w:rPr>
        <w:t xml:space="preserve"> since the last community gang assessment was conducted in Durham.  </w:t>
      </w:r>
      <w:r w:rsidR="000A0BCA" w:rsidRPr="000A0BCA">
        <w:rPr>
          <w:rStyle w:val="Emphasis"/>
        </w:rPr>
        <w:t xml:space="preserve">Violence exposure in these areas is </w:t>
      </w:r>
      <w:r w:rsidR="007027A2" w:rsidRPr="000A0BCA">
        <w:rPr>
          <w:rStyle w:val="Emphasis"/>
        </w:rPr>
        <w:t>exacerbated by e</w:t>
      </w:r>
      <w:r w:rsidR="004A1E3C" w:rsidRPr="000A0BCA">
        <w:rPr>
          <w:rStyle w:val="Emphasis"/>
        </w:rPr>
        <w:t xml:space="preserve">xtreme poverty and exposure to </w:t>
      </w:r>
      <w:r w:rsidR="000A0BCA" w:rsidRPr="000A0BCA">
        <w:rPr>
          <w:rStyle w:val="Emphasis"/>
        </w:rPr>
        <w:t>other social vulnerabilities that have remained mostly unchanged since 2014.</w:t>
      </w:r>
    </w:p>
    <w:p w14:paraId="151824AA" w14:textId="21A7A38B" w:rsidR="00F506D2" w:rsidRDefault="00F506D2" w:rsidP="00A32D8D">
      <w:pPr>
        <w:spacing w:after="0"/>
        <w:jc w:val="both"/>
      </w:pPr>
    </w:p>
    <w:tbl>
      <w:tblPr>
        <w:tblStyle w:val="TableGrid"/>
        <w:tblpPr w:leftFromText="180" w:rightFromText="180" w:vertAnchor="text" w:horzAnchor="margin" w:tblpXSpec="right" w:tblpY="359"/>
        <w:tblW w:w="3690" w:type="dxa"/>
        <w:tblLook w:val="04A0" w:firstRow="1" w:lastRow="0" w:firstColumn="1" w:lastColumn="0" w:noHBand="0" w:noVBand="1"/>
      </w:tblPr>
      <w:tblGrid>
        <w:gridCol w:w="2202"/>
        <w:gridCol w:w="1488"/>
      </w:tblGrid>
      <w:tr w:rsidR="00145EA5" w14:paraId="3929B864" w14:textId="77777777" w:rsidTr="00145EA5">
        <w:trPr>
          <w:trHeight w:val="744"/>
        </w:trPr>
        <w:tc>
          <w:tcPr>
            <w:tcW w:w="3690" w:type="dxa"/>
            <w:gridSpan w:val="2"/>
            <w:tcBorders>
              <w:top w:val="nil"/>
              <w:left w:val="nil"/>
              <w:bottom w:val="nil"/>
              <w:right w:val="nil"/>
            </w:tcBorders>
            <w:vAlign w:val="bottom"/>
          </w:tcPr>
          <w:p w14:paraId="41641FEE" w14:textId="77777777" w:rsidR="00145EA5" w:rsidRPr="00136E3C" w:rsidRDefault="00145EA5" w:rsidP="00145EA5">
            <w:pPr>
              <w:jc w:val="both"/>
              <w:rPr>
                <w:rFonts w:ascii="Calibri" w:hAnsi="Calibri" w:cs="Calibri"/>
                <w:b/>
                <w:bCs/>
                <w:color w:val="000000"/>
              </w:rPr>
            </w:pPr>
            <w:r w:rsidRPr="00136E3C">
              <w:rPr>
                <w:rFonts w:ascii="Calibri" w:hAnsi="Calibri" w:cs="Calibri"/>
                <w:b/>
                <w:bCs/>
                <w:color w:val="000000"/>
              </w:rPr>
              <w:t>Table 1. Homicide and aggravated assault per 100k persons</w:t>
            </w:r>
            <w:r>
              <w:rPr>
                <w:rFonts w:ascii="Calibri" w:hAnsi="Calibri" w:cs="Calibri"/>
                <w:b/>
                <w:bCs/>
                <w:color w:val="000000"/>
              </w:rPr>
              <w:t xml:space="preserve"> (2018-2020 3 year average rate)</w:t>
            </w:r>
          </w:p>
        </w:tc>
      </w:tr>
      <w:tr w:rsidR="00145EA5" w14:paraId="67D6EFC0" w14:textId="77777777" w:rsidTr="00145EA5">
        <w:trPr>
          <w:trHeight w:val="252"/>
        </w:trPr>
        <w:tc>
          <w:tcPr>
            <w:tcW w:w="2202" w:type="dxa"/>
            <w:tcBorders>
              <w:right w:val="nil"/>
            </w:tcBorders>
            <w:shd w:val="clear" w:color="auto" w:fill="44546A" w:themeFill="text2"/>
            <w:vAlign w:val="bottom"/>
          </w:tcPr>
          <w:p w14:paraId="1093A062" w14:textId="77777777" w:rsidR="00145EA5" w:rsidRPr="00136E3C" w:rsidRDefault="00145EA5" w:rsidP="00145EA5">
            <w:pPr>
              <w:jc w:val="both"/>
              <w:rPr>
                <w:rFonts w:ascii="Calibri" w:hAnsi="Calibri" w:cs="Calibri"/>
                <w:color w:val="FFFFFF" w:themeColor="background1"/>
              </w:rPr>
            </w:pPr>
            <w:r w:rsidRPr="00136E3C">
              <w:rPr>
                <w:rFonts w:ascii="Calibri" w:hAnsi="Calibri" w:cs="Calibri"/>
                <w:color w:val="FFFFFF" w:themeColor="background1"/>
              </w:rPr>
              <w:t>Census tract</w:t>
            </w:r>
          </w:p>
        </w:tc>
        <w:tc>
          <w:tcPr>
            <w:tcW w:w="1488" w:type="dxa"/>
            <w:tcBorders>
              <w:top w:val="nil"/>
              <w:left w:val="nil"/>
              <w:bottom w:val="nil"/>
              <w:right w:val="nil"/>
            </w:tcBorders>
            <w:shd w:val="clear" w:color="auto" w:fill="44546A" w:themeFill="text2"/>
            <w:vAlign w:val="bottom"/>
          </w:tcPr>
          <w:p w14:paraId="0A7C9118" w14:textId="77777777" w:rsidR="00145EA5" w:rsidRPr="00136E3C" w:rsidRDefault="00145EA5" w:rsidP="00145EA5">
            <w:pPr>
              <w:jc w:val="center"/>
              <w:rPr>
                <w:rFonts w:ascii="Calibri" w:hAnsi="Calibri" w:cs="Calibri"/>
                <w:color w:val="FFFFFF" w:themeColor="background1"/>
              </w:rPr>
            </w:pPr>
            <w:r w:rsidRPr="00136E3C">
              <w:rPr>
                <w:rFonts w:ascii="Calibri" w:hAnsi="Calibri" w:cs="Calibri"/>
                <w:color w:val="FFFFFF" w:themeColor="background1"/>
              </w:rPr>
              <w:t>3 year average rate</w:t>
            </w:r>
          </w:p>
        </w:tc>
      </w:tr>
      <w:tr w:rsidR="00041C19" w14:paraId="6CB5B007" w14:textId="77777777" w:rsidTr="00041C19">
        <w:trPr>
          <w:trHeight w:val="252"/>
        </w:trPr>
        <w:tc>
          <w:tcPr>
            <w:tcW w:w="2202" w:type="dxa"/>
            <w:shd w:val="clear" w:color="auto" w:fill="FFF2CC" w:themeFill="accent4" w:themeFillTint="33"/>
            <w:vAlign w:val="bottom"/>
          </w:tcPr>
          <w:p w14:paraId="3BB89522" w14:textId="77777777" w:rsidR="00145EA5" w:rsidRDefault="00145EA5" w:rsidP="00145EA5">
            <w:pPr>
              <w:jc w:val="both"/>
            </w:pPr>
            <w:r w:rsidRPr="00593088">
              <w:rPr>
                <w:rFonts w:ascii="Calibri" w:hAnsi="Calibri" w:cs="Calibri"/>
                <w:color w:val="000000"/>
              </w:rPr>
              <w:t>14</w:t>
            </w:r>
          </w:p>
        </w:tc>
        <w:tc>
          <w:tcPr>
            <w:tcW w:w="1488" w:type="dxa"/>
            <w:tcBorders>
              <w:top w:val="nil"/>
            </w:tcBorders>
            <w:vAlign w:val="bottom"/>
          </w:tcPr>
          <w:p w14:paraId="333E00E9" w14:textId="77777777" w:rsidR="00145EA5" w:rsidRDefault="00145EA5" w:rsidP="00145EA5">
            <w:pPr>
              <w:jc w:val="center"/>
            </w:pPr>
            <w:r w:rsidRPr="00593088">
              <w:rPr>
                <w:rFonts w:ascii="Calibri" w:hAnsi="Calibri" w:cs="Calibri"/>
                <w:color w:val="000000"/>
              </w:rPr>
              <w:t>2544.8</w:t>
            </w:r>
          </w:p>
        </w:tc>
      </w:tr>
      <w:tr w:rsidR="00145EA5" w14:paraId="35104A8A" w14:textId="77777777" w:rsidTr="00041C19">
        <w:trPr>
          <w:trHeight w:val="252"/>
        </w:trPr>
        <w:tc>
          <w:tcPr>
            <w:tcW w:w="2202" w:type="dxa"/>
            <w:shd w:val="clear" w:color="auto" w:fill="FFF2CC" w:themeFill="accent4" w:themeFillTint="33"/>
            <w:vAlign w:val="bottom"/>
          </w:tcPr>
          <w:p w14:paraId="112EDE07" w14:textId="77777777" w:rsidR="00145EA5" w:rsidRDefault="00145EA5" w:rsidP="00145EA5">
            <w:pPr>
              <w:jc w:val="both"/>
            </w:pPr>
            <w:r w:rsidRPr="00593088">
              <w:rPr>
                <w:rFonts w:ascii="Calibri" w:hAnsi="Calibri" w:cs="Calibri"/>
                <w:color w:val="000000"/>
              </w:rPr>
              <w:t>13.01</w:t>
            </w:r>
          </w:p>
        </w:tc>
        <w:tc>
          <w:tcPr>
            <w:tcW w:w="1488" w:type="dxa"/>
            <w:vAlign w:val="bottom"/>
          </w:tcPr>
          <w:p w14:paraId="4E087228" w14:textId="77777777" w:rsidR="00145EA5" w:rsidRDefault="00145EA5" w:rsidP="00145EA5">
            <w:pPr>
              <w:jc w:val="center"/>
            </w:pPr>
            <w:r w:rsidRPr="00593088">
              <w:rPr>
                <w:rFonts w:ascii="Calibri" w:hAnsi="Calibri" w:cs="Calibri"/>
                <w:color w:val="000000"/>
              </w:rPr>
              <w:t>1929.6</w:t>
            </w:r>
          </w:p>
        </w:tc>
      </w:tr>
      <w:tr w:rsidR="00145EA5" w14:paraId="2323E58F" w14:textId="77777777" w:rsidTr="00041C19">
        <w:trPr>
          <w:trHeight w:val="238"/>
        </w:trPr>
        <w:tc>
          <w:tcPr>
            <w:tcW w:w="2202" w:type="dxa"/>
            <w:shd w:val="clear" w:color="auto" w:fill="FFF2CC" w:themeFill="accent4" w:themeFillTint="33"/>
            <w:vAlign w:val="bottom"/>
          </w:tcPr>
          <w:p w14:paraId="4D085A16" w14:textId="77777777" w:rsidR="00145EA5" w:rsidRDefault="00145EA5" w:rsidP="00145EA5">
            <w:pPr>
              <w:jc w:val="both"/>
            </w:pPr>
            <w:r w:rsidRPr="00593088">
              <w:rPr>
                <w:rFonts w:ascii="Calibri" w:hAnsi="Calibri" w:cs="Calibri"/>
                <w:color w:val="000000"/>
              </w:rPr>
              <w:t>11</w:t>
            </w:r>
          </w:p>
        </w:tc>
        <w:tc>
          <w:tcPr>
            <w:tcW w:w="1488" w:type="dxa"/>
            <w:vAlign w:val="bottom"/>
          </w:tcPr>
          <w:p w14:paraId="5474E28C" w14:textId="77777777" w:rsidR="00145EA5" w:rsidRDefault="00145EA5" w:rsidP="00145EA5">
            <w:pPr>
              <w:jc w:val="center"/>
            </w:pPr>
            <w:r w:rsidRPr="00593088">
              <w:rPr>
                <w:rFonts w:ascii="Calibri" w:hAnsi="Calibri" w:cs="Calibri"/>
                <w:color w:val="000000"/>
              </w:rPr>
              <w:t>1885.0</w:t>
            </w:r>
          </w:p>
        </w:tc>
      </w:tr>
      <w:tr w:rsidR="00145EA5" w14:paraId="2787845C" w14:textId="77777777" w:rsidTr="00041C19">
        <w:trPr>
          <w:trHeight w:val="252"/>
        </w:trPr>
        <w:tc>
          <w:tcPr>
            <w:tcW w:w="2202" w:type="dxa"/>
            <w:shd w:val="clear" w:color="auto" w:fill="FFF2CC" w:themeFill="accent4" w:themeFillTint="33"/>
            <w:vAlign w:val="bottom"/>
          </w:tcPr>
          <w:p w14:paraId="332A6A7A" w14:textId="77777777" w:rsidR="00145EA5" w:rsidRDefault="00145EA5" w:rsidP="00145EA5">
            <w:pPr>
              <w:jc w:val="both"/>
            </w:pPr>
            <w:r w:rsidRPr="00593088">
              <w:rPr>
                <w:rFonts w:ascii="Calibri" w:hAnsi="Calibri" w:cs="Calibri"/>
                <w:color w:val="000000"/>
              </w:rPr>
              <w:t>23</w:t>
            </w:r>
          </w:p>
        </w:tc>
        <w:tc>
          <w:tcPr>
            <w:tcW w:w="1488" w:type="dxa"/>
            <w:vAlign w:val="bottom"/>
          </w:tcPr>
          <w:p w14:paraId="7D43A7C1" w14:textId="77777777" w:rsidR="00145EA5" w:rsidRDefault="00145EA5" w:rsidP="00145EA5">
            <w:pPr>
              <w:jc w:val="center"/>
            </w:pPr>
            <w:r w:rsidRPr="00593088">
              <w:rPr>
                <w:rFonts w:ascii="Calibri" w:hAnsi="Calibri" w:cs="Calibri"/>
                <w:color w:val="000000"/>
              </w:rPr>
              <w:t>1837.1</w:t>
            </w:r>
          </w:p>
        </w:tc>
      </w:tr>
      <w:tr w:rsidR="00145EA5" w14:paraId="27EF08AA" w14:textId="77777777" w:rsidTr="00041C19">
        <w:trPr>
          <w:trHeight w:val="238"/>
        </w:trPr>
        <w:tc>
          <w:tcPr>
            <w:tcW w:w="2202" w:type="dxa"/>
            <w:shd w:val="clear" w:color="auto" w:fill="FFF2CC" w:themeFill="accent4" w:themeFillTint="33"/>
            <w:vAlign w:val="bottom"/>
          </w:tcPr>
          <w:p w14:paraId="14ED90F8" w14:textId="77777777" w:rsidR="00145EA5" w:rsidRDefault="00145EA5" w:rsidP="00145EA5">
            <w:pPr>
              <w:jc w:val="both"/>
            </w:pPr>
            <w:r w:rsidRPr="00593088">
              <w:rPr>
                <w:rFonts w:ascii="Calibri" w:hAnsi="Calibri" w:cs="Calibri"/>
                <w:color w:val="000000"/>
              </w:rPr>
              <w:t>10.01</w:t>
            </w:r>
          </w:p>
        </w:tc>
        <w:tc>
          <w:tcPr>
            <w:tcW w:w="1488" w:type="dxa"/>
            <w:vAlign w:val="bottom"/>
          </w:tcPr>
          <w:p w14:paraId="78DF41DF" w14:textId="77777777" w:rsidR="00145EA5" w:rsidRDefault="00145EA5" w:rsidP="00145EA5">
            <w:pPr>
              <w:jc w:val="center"/>
            </w:pPr>
            <w:r w:rsidRPr="00593088">
              <w:rPr>
                <w:rFonts w:ascii="Calibri" w:hAnsi="Calibri" w:cs="Calibri"/>
                <w:color w:val="000000"/>
              </w:rPr>
              <w:t>1268.2</w:t>
            </w:r>
          </w:p>
        </w:tc>
      </w:tr>
      <w:tr w:rsidR="00145EA5" w14:paraId="37A8A7C8" w14:textId="77777777" w:rsidTr="00041C19">
        <w:trPr>
          <w:trHeight w:val="252"/>
        </w:trPr>
        <w:tc>
          <w:tcPr>
            <w:tcW w:w="2202" w:type="dxa"/>
            <w:shd w:val="clear" w:color="auto" w:fill="FFF2CC" w:themeFill="accent4" w:themeFillTint="33"/>
            <w:vAlign w:val="bottom"/>
          </w:tcPr>
          <w:p w14:paraId="182C36F4" w14:textId="77777777" w:rsidR="00145EA5" w:rsidRDefault="00145EA5" w:rsidP="00145EA5">
            <w:pPr>
              <w:jc w:val="both"/>
            </w:pPr>
            <w:r w:rsidRPr="00593088">
              <w:rPr>
                <w:rFonts w:ascii="Calibri" w:hAnsi="Calibri" w:cs="Calibri"/>
                <w:color w:val="000000"/>
              </w:rPr>
              <w:t>9</w:t>
            </w:r>
          </w:p>
        </w:tc>
        <w:tc>
          <w:tcPr>
            <w:tcW w:w="1488" w:type="dxa"/>
            <w:vAlign w:val="bottom"/>
          </w:tcPr>
          <w:p w14:paraId="7344F645" w14:textId="77777777" w:rsidR="00145EA5" w:rsidRDefault="00145EA5" w:rsidP="00145EA5">
            <w:pPr>
              <w:jc w:val="center"/>
            </w:pPr>
            <w:r w:rsidRPr="00593088">
              <w:rPr>
                <w:rFonts w:ascii="Calibri" w:hAnsi="Calibri" w:cs="Calibri"/>
                <w:color w:val="000000"/>
              </w:rPr>
              <w:t>1267.1</w:t>
            </w:r>
          </w:p>
        </w:tc>
      </w:tr>
      <w:tr w:rsidR="00041C19" w14:paraId="7A93B356" w14:textId="77777777" w:rsidTr="00041C19">
        <w:trPr>
          <w:trHeight w:val="238"/>
        </w:trPr>
        <w:tc>
          <w:tcPr>
            <w:tcW w:w="2202" w:type="dxa"/>
            <w:tcBorders>
              <w:top w:val="nil"/>
            </w:tcBorders>
            <w:shd w:val="clear" w:color="auto" w:fill="FFF2CC" w:themeFill="accent4" w:themeFillTint="33"/>
            <w:vAlign w:val="bottom"/>
          </w:tcPr>
          <w:p w14:paraId="5C398117" w14:textId="77777777" w:rsidR="00145EA5" w:rsidRDefault="00145EA5" w:rsidP="00145EA5">
            <w:pPr>
              <w:jc w:val="both"/>
            </w:pPr>
            <w:r w:rsidRPr="00593088">
              <w:rPr>
                <w:rFonts w:ascii="Calibri" w:hAnsi="Calibri" w:cs="Calibri"/>
                <w:color w:val="000000"/>
              </w:rPr>
              <w:t>10.02</w:t>
            </w:r>
          </w:p>
        </w:tc>
        <w:tc>
          <w:tcPr>
            <w:tcW w:w="1488" w:type="dxa"/>
            <w:tcBorders>
              <w:top w:val="nil"/>
            </w:tcBorders>
            <w:vAlign w:val="bottom"/>
          </w:tcPr>
          <w:p w14:paraId="251A3C9A" w14:textId="77777777" w:rsidR="00145EA5" w:rsidRDefault="00145EA5" w:rsidP="00145EA5">
            <w:pPr>
              <w:jc w:val="center"/>
            </w:pPr>
            <w:r w:rsidRPr="00593088">
              <w:rPr>
                <w:rFonts w:ascii="Calibri" w:hAnsi="Calibri" w:cs="Calibri"/>
                <w:color w:val="000000"/>
              </w:rPr>
              <w:t>1140.9</w:t>
            </w:r>
          </w:p>
        </w:tc>
      </w:tr>
      <w:tr w:rsidR="00145EA5" w14:paraId="153CF317" w14:textId="77777777" w:rsidTr="00145EA5">
        <w:trPr>
          <w:trHeight w:val="238"/>
        </w:trPr>
        <w:tc>
          <w:tcPr>
            <w:tcW w:w="2202" w:type="dxa"/>
            <w:vAlign w:val="bottom"/>
          </w:tcPr>
          <w:p w14:paraId="0F53F0D1" w14:textId="77777777" w:rsidR="00145EA5" w:rsidRDefault="00145EA5" w:rsidP="00145EA5">
            <w:pPr>
              <w:jc w:val="both"/>
            </w:pPr>
            <w:r w:rsidRPr="00593088">
              <w:rPr>
                <w:rFonts w:ascii="Calibri" w:hAnsi="Calibri" w:cs="Calibri"/>
                <w:color w:val="000000"/>
              </w:rPr>
              <w:t>22</w:t>
            </w:r>
          </w:p>
        </w:tc>
        <w:tc>
          <w:tcPr>
            <w:tcW w:w="1488" w:type="dxa"/>
            <w:vAlign w:val="bottom"/>
          </w:tcPr>
          <w:p w14:paraId="224A3E18" w14:textId="77777777" w:rsidR="00145EA5" w:rsidRDefault="00145EA5" w:rsidP="00145EA5">
            <w:pPr>
              <w:jc w:val="center"/>
            </w:pPr>
            <w:r w:rsidRPr="00593088">
              <w:rPr>
                <w:rFonts w:ascii="Calibri" w:hAnsi="Calibri" w:cs="Calibri"/>
                <w:color w:val="000000"/>
              </w:rPr>
              <w:t>908.7</w:t>
            </w:r>
          </w:p>
        </w:tc>
      </w:tr>
      <w:tr w:rsidR="00145EA5" w14:paraId="03A7EF98" w14:textId="77777777" w:rsidTr="00145EA5">
        <w:trPr>
          <w:trHeight w:val="238"/>
        </w:trPr>
        <w:tc>
          <w:tcPr>
            <w:tcW w:w="2202" w:type="dxa"/>
            <w:vAlign w:val="bottom"/>
          </w:tcPr>
          <w:p w14:paraId="5E46810F" w14:textId="77777777" w:rsidR="00145EA5" w:rsidRDefault="00145EA5" w:rsidP="00145EA5">
            <w:pPr>
              <w:jc w:val="both"/>
            </w:pPr>
            <w:r w:rsidRPr="00593088">
              <w:rPr>
                <w:rFonts w:ascii="Calibri" w:hAnsi="Calibri" w:cs="Calibri"/>
                <w:color w:val="000000"/>
              </w:rPr>
              <w:t>17.09</w:t>
            </w:r>
          </w:p>
        </w:tc>
        <w:tc>
          <w:tcPr>
            <w:tcW w:w="1488" w:type="dxa"/>
            <w:vAlign w:val="bottom"/>
          </w:tcPr>
          <w:p w14:paraId="51D21622" w14:textId="77777777" w:rsidR="00145EA5" w:rsidRDefault="00145EA5" w:rsidP="00145EA5">
            <w:pPr>
              <w:jc w:val="center"/>
            </w:pPr>
            <w:r w:rsidRPr="00593088">
              <w:rPr>
                <w:rFonts w:ascii="Calibri" w:hAnsi="Calibri" w:cs="Calibri"/>
                <w:color w:val="000000"/>
              </w:rPr>
              <w:t>899.9</w:t>
            </w:r>
          </w:p>
        </w:tc>
      </w:tr>
      <w:tr w:rsidR="00145EA5" w14:paraId="461BB2EF" w14:textId="77777777" w:rsidTr="00145EA5">
        <w:trPr>
          <w:trHeight w:val="252"/>
        </w:trPr>
        <w:tc>
          <w:tcPr>
            <w:tcW w:w="2202" w:type="dxa"/>
            <w:vAlign w:val="bottom"/>
          </w:tcPr>
          <w:p w14:paraId="5C9F5A81" w14:textId="77777777" w:rsidR="00145EA5" w:rsidRDefault="00145EA5" w:rsidP="00145EA5">
            <w:pPr>
              <w:jc w:val="both"/>
            </w:pPr>
            <w:r w:rsidRPr="00593088">
              <w:rPr>
                <w:rFonts w:ascii="Calibri" w:hAnsi="Calibri" w:cs="Calibri"/>
                <w:color w:val="000000"/>
              </w:rPr>
              <w:t>1.01</w:t>
            </w:r>
          </w:p>
        </w:tc>
        <w:tc>
          <w:tcPr>
            <w:tcW w:w="1488" w:type="dxa"/>
            <w:vAlign w:val="bottom"/>
          </w:tcPr>
          <w:p w14:paraId="68600138" w14:textId="77777777" w:rsidR="00145EA5" w:rsidRDefault="00145EA5" w:rsidP="00145EA5">
            <w:pPr>
              <w:jc w:val="center"/>
            </w:pPr>
            <w:r w:rsidRPr="00593088">
              <w:rPr>
                <w:rFonts w:ascii="Calibri" w:hAnsi="Calibri" w:cs="Calibri"/>
                <w:color w:val="000000"/>
              </w:rPr>
              <w:t>846.6</w:t>
            </w:r>
          </w:p>
        </w:tc>
      </w:tr>
      <w:tr w:rsidR="00145EA5" w14:paraId="77304BCB" w14:textId="77777777" w:rsidTr="00041C19">
        <w:trPr>
          <w:trHeight w:val="252"/>
        </w:trPr>
        <w:tc>
          <w:tcPr>
            <w:tcW w:w="2202" w:type="dxa"/>
            <w:shd w:val="clear" w:color="auto" w:fill="FFF2CC" w:themeFill="accent4" w:themeFillTint="33"/>
            <w:vAlign w:val="bottom"/>
          </w:tcPr>
          <w:p w14:paraId="2FAC62C0" w14:textId="77777777" w:rsidR="00145EA5" w:rsidRDefault="00145EA5" w:rsidP="00145EA5">
            <w:pPr>
              <w:jc w:val="both"/>
            </w:pPr>
            <w:r w:rsidRPr="00593088">
              <w:rPr>
                <w:rFonts w:ascii="Calibri" w:hAnsi="Calibri" w:cs="Calibri"/>
                <w:color w:val="000000"/>
              </w:rPr>
              <w:t>13.04</w:t>
            </w:r>
          </w:p>
        </w:tc>
        <w:tc>
          <w:tcPr>
            <w:tcW w:w="1488" w:type="dxa"/>
            <w:vAlign w:val="bottom"/>
          </w:tcPr>
          <w:p w14:paraId="0355371F" w14:textId="77777777" w:rsidR="00145EA5" w:rsidRDefault="00145EA5" w:rsidP="00145EA5">
            <w:pPr>
              <w:jc w:val="center"/>
            </w:pPr>
            <w:r w:rsidRPr="00593088">
              <w:rPr>
                <w:rFonts w:ascii="Calibri" w:hAnsi="Calibri" w:cs="Calibri"/>
                <w:color w:val="000000"/>
              </w:rPr>
              <w:t>840.4</w:t>
            </w:r>
          </w:p>
        </w:tc>
      </w:tr>
      <w:tr w:rsidR="00145EA5" w14:paraId="722DA8F7" w14:textId="77777777" w:rsidTr="00145EA5">
        <w:trPr>
          <w:trHeight w:val="252"/>
        </w:trPr>
        <w:tc>
          <w:tcPr>
            <w:tcW w:w="2202" w:type="dxa"/>
            <w:vAlign w:val="bottom"/>
          </w:tcPr>
          <w:p w14:paraId="12D8990C" w14:textId="77777777" w:rsidR="00145EA5" w:rsidRDefault="00145EA5" w:rsidP="00145EA5">
            <w:pPr>
              <w:jc w:val="both"/>
            </w:pPr>
            <w:r w:rsidRPr="00593088">
              <w:rPr>
                <w:rFonts w:ascii="Calibri" w:hAnsi="Calibri" w:cs="Calibri"/>
                <w:color w:val="000000"/>
              </w:rPr>
              <w:t>18.02</w:t>
            </w:r>
          </w:p>
        </w:tc>
        <w:tc>
          <w:tcPr>
            <w:tcW w:w="1488" w:type="dxa"/>
            <w:vAlign w:val="bottom"/>
          </w:tcPr>
          <w:p w14:paraId="1A7413F0" w14:textId="77777777" w:rsidR="00145EA5" w:rsidRDefault="00145EA5" w:rsidP="00145EA5">
            <w:pPr>
              <w:jc w:val="center"/>
            </w:pPr>
            <w:r w:rsidRPr="00593088">
              <w:rPr>
                <w:rFonts w:ascii="Calibri" w:hAnsi="Calibri" w:cs="Calibri"/>
                <w:color w:val="000000"/>
              </w:rPr>
              <w:t>562.3</w:t>
            </w:r>
          </w:p>
        </w:tc>
      </w:tr>
      <w:tr w:rsidR="00145EA5" w14:paraId="33B432DA" w14:textId="77777777" w:rsidTr="00145EA5">
        <w:trPr>
          <w:trHeight w:val="252"/>
        </w:trPr>
        <w:tc>
          <w:tcPr>
            <w:tcW w:w="2202" w:type="dxa"/>
            <w:vAlign w:val="bottom"/>
          </w:tcPr>
          <w:p w14:paraId="5CB7F035" w14:textId="77777777" w:rsidR="00145EA5" w:rsidRPr="00593088" w:rsidRDefault="00145EA5" w:rsidP="00145EA5">
            <w:pPr>
              <w:jc w:val="both"/>
              <w:rPr>
                <w:rFonts w:ascii="Calibri" w:hAnsi="Calibri" w:cs="Calibri"/>
                <w:color w:val="000000"/>
              </w:rPr>
            </w:pPr>
            <w:r>
              <w:rPr>
                <w:rFonts w:ascii="Calibri" w:hAnsi="Calibri" w:cs="Calibri"/>
                <w:color w:val="000000"/>
              </w:rPr>
              <w:t>City of Durham</w:t>
            </w:r>
          </w:p>
        </w:tc>
        <w:tc>
          <w:tcPr>
            <w:tcW w:w="1488" w:type="dxa"/>
            <w:vAlign w:val="bottom"/>
          </w:tcPr>
          <w:p w14:paraId="1787116D" w14:textId="77777777" w:rsidR="00145EA5" w:rsidRPr="00593088" w:rsidRDefault="00145EA5" w:rsidP="00145EA5">
            <w:pPr>
              <w:jc w:val="center"/>
              <w:rPr>
                <w:rFonts w:ascii="Calibri" w:hAnsi="Calibri" w:cs="Calibri"/>
                <w:color w:val="000000"/>
              </w:rPr>
            </w:pPr>
            <w:r>
              <w:rPr>
                <w:rFonts w:ascii="Calibri" w:hAnsi="Calibri" w:cs="Calibri"/>
                <w:color w:val="000000"/>
              </w:rPr>
              <w:t>337.5</w:t>
            </w:r>
          </w:p>
        </w:tc>
      </w:tr>
    </w:tbl>
    <w:p w14:paraId="2315911E" w14:textId="3739BE60" w:rsidR="00FD46CC" w:rsidRDefault="00711B07" w:rsidP="00330E07">
      <w:pPr>
        <w:jc w:val="both"/>
      </w:pPr>
      <w:r>
        <w:t xml:space="preserve">For this report, </w:t>
      </w:r>
      <w:r w:rsidR="00A64519">
        <w:t xml:space="preserve">specific types of violent crime (aggravated assault, homicide and robbery were examined at the census tract level and </w:t>
      </w:r>
      <w:r w:rsidR="004C3AD8">
        <w:t>rates of violent offenses per 100k people were calculated</w:t>
      </w:r>
      <w:r w:rsidR="008272AD">
        <w:t xml:space="preserve"> (this is a standard measurement of offenses that allows </w:t>
      </w:r>
      <w:r w:rsidR="006A24D3">
        <w:t>the level of crime to be examined across areas of varying sizes</w:t>
      </w:r>
      <w:r w:rsidR="004C3AD8">
        <w:t xml:space="preserve">.  </w:t>
      </w:r>
      <w:r w:rsidR="00041C19">
        <w:t>Examining violence exposure per capita along with other risk factor exposure can provide polic</w:t>
      </w:r>
      <w:r w:rsidR="000B0D4C">
        <w:t xml:space="preserve">ymakers with important information on the geographic area of the community that is </w:t>
      </w:r>
      <w:r w:rsidR="006A24D3">
        <w:t>the most</w:t>
      </w:r>
      <w:r w:rsidR="000B0D4C">
        <w:t xml:space="preserve"> acutely affected by community-level violence.  Utilizing this analysis, 1</w:t>
      </w:r>
      <w:r w:rsidR="004C3AD8">
        <w:t xml:space="preserve">2 census tracts were identified that experienced extraordinarily high levels of violent person offenses </w:t>
      </w:r>
      <w:r w:rsidR="00FD46CC">
        <w:t>per 100,000 people</w:t>
      </w:r>
      <w:r w:rsidR="000B0D4C">
        <w:t xml:space="preserve"> between 2018 and 2020.</w:t>
      </w:r>
      <w:r w:rsidR="00FD46CC">
        <w:t xml:space="preserve"> </w:t>
      </w:r>
    </w:p>
    <w:p w14:paraId="35142060" w14:textId="0AC8A941" w:rsidR="006D72BC" w:rsidRDefault="00B85913" w:rsidP="00330E07">
      <w:pPr>
        <w:jc w:val="both"/>
      </w:pPr>
      <w:r>
        <w:t xml:space="preserve">These </w:t>
      </w:r>
      <w:r w:rsidR="00145EA5">
        <w:t xml:space="preserve">12 </w:t>
      </w:r>
      <w:r>
        <w:t xml:space="preserve">census tracts experience </w:t>
      </w:r>
      <w:r w:rsidR="0044287F">
        <w:t xml:space="preserve">violent person offenses (aggravated assault and homicide) at a rate that is </w:t>
      </w:r>
      <w:r w:rsidR="007A795D">
        <w:t>between 7.5</w:t>
      </w:r>
      <w:r w:rsidR="00145EA5">
        <w:t xml:space="preserve"> and 1.6</w:t>
      </w:r>
      <w:r w:rsidR="007A795D">
        <w:t xml:space="preserve"> times higher than the citywide rate.  </w:t>
      </w:r>
      <w:r>
        <w:t xml:space="preserve"> </w:t>
      </w:r>
    </w:p>
    <w:p w14:paraId="177B663A" w14:textId="6C7C8E9B" w:rsidR="0008447E" w:rsidRDefault="00094BB4" w:rsidP="00330E07">
      <w:pPr>
        <w:jc w:val="both"/>
      </w:pPr>
      <w:r>
        <w:t>The Durham Community Gang Assessment conducted during 2013-2014 (Stuit, 2014) identified 9 census tracts that were affected by disproportionately high levels of violen</w:t>
      </w:r>
      <w:r w:rsidR="00A32D8D">
        <w:t>t offenses</w:t>
      </w:r>
      <w:r>
        <w:t xml:space="preserve">.  These 9 census  tracts were also </w:t>
      </w:r>
      <w:r w:rsidR="001F656A">
        <w:t xml:space="preserve">found to have high rates of underlying social </w:t>
      </w:r>
      <w:r>
        <w:t xml:space="preserve">conditions that contribute to children and youth becoming involved in the criminal justice system and gangs.  </w:t>
      </w:r>
      <w:r w:rsidR="0060578C">
        <w:t xml:space="preserve">Eight of the nine census tracts </w:t>
      </w:r>
      <w:r w:rsidR="00A32D8D">
        <w:t>identified in</w:t>
      </w:r>
      <w:r w:rsidR="0060578C">
        <w:t xml:space="preserve"> the 2013-14 Durham Community Gang Assessment </w:t>
      </w:r>
      <w:r w:rsidR="00267B0A">
        <w:t>are</w:t>
      </w:r>
      <w:r w:rsidR="0060578C">
        <w:t xml:space="preserve"> among the 12 census tracts identified in the analysis for this report as having high rates per 100,00 persons of violent person offenses (See peach highlights on Table 1</w:t>
      </w:r>
      <w:r w:rsidR="00267B0A">
        <w:t>)</w:t>
      </w:r>
      <w:r w:rsidR="0060578C">
        <w:t xml:space="preserve">.  </w:t>
      </w:r>
    </w:p>
    <w:p w14:paraId="628C412F" w14:textId="6DD42827" w:rsidR="00330E07" w:rsidRDefault="0060578C" w:rsidP="00330E07">
      <w:pPr>
        <w:jc w:val="both"/>
      </w:pPr>
      <w:r>
        <w:t xml:space="preserve">During 2018-2020, </w:t>
      </w:r>
      <w:r w:rsidR="00697B45">
        <w:t>specific violent person offenses (homicide, aggravated assault</w:t>
      </w:r>
      <w:r w:rsidR="00267B0A">
        <w:t xml:space="preserve">, </w:t>
      </w:r>
      <w:r w:rsidR="00697B45">
        <w:t xml:space="preserve">and robbery of an individual) in these 12 census tracts </w:t>
      </w:r>
      <w:r w:rsidR="009E3A33">
        <w:t xml:space="preserve">comprised a substantial percentage of all of the crimes in these categories that occurred citywide.  </w:t>
      </w:r>
      <w:r w:rsidR="000B218B">
        <w:t>Over half of homicides and aggravated assaults in the city of Durham occurred in these 12 census tracts  and 45% of robberies of an individual</w:t>
      </w:r>
      <w:r w:rsidR="009E3A33">
        <w:t xml:space="preserve"> (typically street-level robberies that are </w:t>
      </w:r>
      <w:r w:rsidR="00805698">
        <w:t>frequently</w:t>
      </w:r>
      <w:r w:rsidR="009E3A33">
        <w:t xml:space="preserve"> connected to gang </w:t>
      </w:r>
      <w:r w:rsidR="00C6612A">
        <w:t>activities</w:t>
      </w:r>
      <w:r w:rsidR="009E3A33">
        <w:t>)</w:t>
      </w:r>
      <w:r w:rsidR="00E70CE4">
        <w:t xml:space="preserve"> (Table </w:t>
      </w:r>
      <w:r w:rsidR="00805698">
        <w:t>2</w:t>
      </w:r>
      <w:r w:rsidR="00FA2149">
        <w:t xml:space="preserve">, </w:t>
      </w:r>
      <w:r w:rsidR="00FA2149" w:rsidRPr="00FA2149">
        <w:rPr>
          <w:highlight w:val="yellow"/>
        </w:rPr>
        <w:t>p.</w:t>
      </w:r>
      <w:r w:rsidR="00FA2149">
        <w:t xml:space="preserve"> </w:t>
      </w:r>
      <w:r w:rsidR="00E70CE4">
        <w:t>)</w:t>
      </w:r>
      <w:r w:rsidR="000B218B">
        <w:t xml:space="preserve">.  The rate of these </w:t>
      </w:r>
      <w:r w:rsidR="00C6612A">
        <w:t>offenses</w:t>
      </w:r>
      <w:r w:rsidR="00703343">
        <w:t xml:space="preserve"> (2018-2020)</w:t>
      </w:r>
      <w:r w:rsidR="000B218B">
        <w:t xml:space="preserve"> per square mile </w:t>
      </w:r>
      <w:r w:rsidR="00703343">
        <w:t xml:space="preserve">was 157.6 in the 12 census tracts, compared to 38.9 citywide.  </w:t>
      </w:r>
      <w:r w:rsidR="00835E7F">
        <w:t xml:space="preserve">The </w:t>
      </w:r>
      <w:r w:rsidR="00200CC7">
        <w:t>rate of these incidents per 100k persons</w:t>
      </w:r>
      <w:r w:rsidR="00835E7F">
        <w:t xml:space="preserve"> for the 12 census tracts is</w:t>
      </w:r>
      <w:r w:rsidR="002E423D">
        <w:t xml:space="preserve"> 3</w:t>
      </w:r>
      <w:r w:rsidR="00FA2149">
        <w:t>.2</w:t>
      </w:r>
      <w:r w:rsidR="002E423D">
        <w:t xml:space="preserve"> times higher than the rate citywide.</w:t>
      </w:r>
      <w:r w:rsidR="00835E7F">
        <w:t xml:space="preserve"> </w:t>
      </w:r>
    </w:p>
    <w:p w14:paraId="7491FCEC" w14:textId="77777777" w:rsidR="00FA2149" w:rsidRDefault="00FA2149">
      <w:r>
        <w:br w:type="page"/>
      </w:r>
    </w:p>
    <w:tbl>
      <w:tblPr>
        <w:tblStyle w:val="TableGrid"/>
        <w:tblW w:w="10345" w:type="dxa"/>
        <w:tblInd w:w="-450" w:type="dxa"/>
        <w:tblLook w:val="04A0" w:firstRow="1" w:lastRow="0" w:firstColumn="1" w:lastColumn="0" w:noHBand="0" w:noVBand="1"/>
      </w:tblPr>
      <w:tblGrid>
        <w:gridCol w:w="1715"/>
        <w:gridCol w:w="1189"/>
        <w:gridCol w:w="898"/>
        <w:gridCol w:w="1209"/>
        <w:gridCol w:w="1236"/>
        <w:gridCol w:w="1342"/>
        <w:gridCol w:w="1232"/>
        <w:gridCol w:w="1524"/>
      </w:tblGrid>
      <w:tr w:rsidR="005A0320" w14:paraId="22ECABB8" w14:textId="77777777" w:rsidTr="0086338B">
        <w:tc>
          <w:tcPr>
            <w:tcW w:w="10345" w:type="dxa"/>
            <w:gridSpan w:val="8"/>
            <w:tcBorders>
              <w:top w:val="nil"/>
              <w:left w:val="nil"/>
              <w:bottom w:val="nil"/>
              <w:right w:val="nil"/>
            </w:tcBorders>
            <w:shd w:val="clear" w:color="auto" w:fill="FFFFFF" w:themeFill="background1"/>
          </w:tcPr>
          <w:p w14:paraId="4A3D0B70" w14:textId="6BD3F7B8" w:rsidR="005A0320" w:rsidRPr="005A0320" w:rsidRDefault="005A0320" w:rsidP="005A0320">
            <w:pPr>
              <w:rPr>
                <w:b/>
                <w:bCs/>
                <w:color w:val="000000" w:themeColor="text1"/>
                <w:sz w:val="21"/>
                <w:szCs w:val="21"/>
              </w:rPr>
            </w:pPr>
            <w:r>
              <w:rPr>
                <w:b/>
                <w:bCs/>
                <w:color w:val="000000" w:themeColor="text1"/>
                <w:sz w:val="21"/>
                <w:szCs w:val="21"/>
              </w:rPr>
              <w:lastRenderedPageBreak/>
              <w:t xml:space="preserve">Table </w:t>
            </w:r>
            <w:r w:rsidR="00805698">
              <w:rPr>
                <w:b/>
                <w:bCs/>
                <w:color w:val="000000" w:themeColor="text1"/>
                <w:sz w:val="21"/>
                <w:szCs w:val="21"/>
              </w:rPr>
              <w:t>2</w:t>
            </w:r>
            <w:r>
              <w:rPr>
                <w:b/>
                <w:bCs/>
                <w:color w:val="000000" w:themeColor="text1"/>
                <w:sz w:val="21"/>
                <w:szCs w:val="21"/>
              </w:rPr>
              <w:t xml:space="preserve">.  </w:t>
            </w:r>
            <w:r w:rsidR="0086338B">
              <w:rPr>
                <w:b/>
                <w:bCs/>
                <w:color w:val="000000" w:themeColor="text1"/>
                <w:sz w:val="21"/>
                <w:szCs w:val="21"/>
              </w:rPr>
              <w:t>Selected rates of violent crime in 12 census tracts and city of Durham overall from 2018-2020</w:t>
            </w:r>
          </w:p>
        </w:tc>
      </w:tr>
      <w:tr w:rsidR="007A2504" w14:paraId="3397BF85" w14:textId="046610C3" w:rsidTr="0086338B">
        <w:tc>
          <w:tcPr>
            <w:tcW w:w="1715" w:type="dxa"/>
            <w:shd w:val="clear" w:color="auto" w:fill="000000" w:themeFill="text1"/>
          </w:tcPr>
          <w:p w14:paraId="659FB1F6" w14:textId="7AFA137E" w:rsidR="007A2504" w:rsidRPr="005A0320" w:rsidRDefault="007A2504" w:rsidP="00330E07">
            <w:pPr>
              <w:jc w:val="both"/>
              <w:rPr>
                <w:b/>
                <w:bCs/>
                <w:color w:val="FFFFFF" w:themeColor="background1"/>
                <w:sz w:val="21"/>
                <w:szCs w:val="21"/>
              </w:rPr>
            </w:pPr>
          </w:p>
        </w:tc>
        <w:tc>
          <w:tcPr>
            <w:tcW w:w="1189" w:type="dxa"/>
            <w:tcBorders>
              <w:right w:val="nil"/>
            </w:tcBorders>
            <w:shd w:val="clear" w:color="auto" w:fill="000000" w:themeFill="text1"/>
            <w:vAlign w:val="bottom"/>
          </w:tcPr>
          <w:p w14:paraId="3A7B1B23" w14:textId="007BCDAB"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2019 Population</w:t>
            </w:r>
          </w:p>
        </w:tc>
        <w:tc>
          <w:tcPr>
            <w:tcW w:w="898" w:type="dxa"/>
            <w:tcBorders>
              <w:top w:val="nil"/>
              <w:left w:val="nil"/>
              <w:bottom w:val="nil"/>
              <w:right w:val="nil"/>
            </w:tcBorders>
            <w:shd w:val="clear" w:color="auto" w:fill="000000" w:themeFill="text1"/>
            <w:vAlign w:val="bottom"/>
          </w:tcPr>
          <w:p w14:paraId="1FCCCF5B" w14:textId="10C40E33"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Square miles</w:t>
            </w:r>
          </w:p>
        </w:tc>
        <w:tc>
          <w:tcPr>
            <w:tcW w:w="1209" w:type="dxa"/>
            <w:tcBorders>
              <w:top w:val="nil"/>
              <w:left w:val="nil"/>
              <w:bottom w:val="nil"/>
              <w:right w:val="nil"/>
            </w:tcBorders>
            <w:shd w:val="clear" w:color="auto" w:fill="000000" w:themeFill="text1"/>
            <w:vAlign w:val="bottom"/>
          </w:tcPr>
          <w:p w14:paraId="0F3B8E09" w14:textId="2BCDBF2F"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Homicides</w:t>
            </w:r>
          </w:p>
        </w:tc>
        <w:tc>
          <w:tcPr>
            <w:tcW w:w="1236" w:type="dxa"/>
            <w:tcBorders>
              <w:top w:val="nil"/>
              <w:left w:val="nil"/>
              <w:bottom w:val="nil"/>
              <w:right w:val="nil"/>
            </w:tcBorders>
            <w:shd w:val="clear" w:color="auto" w:fill="000000" w:themeFill="text1"/>
            <w:vAlign w:val="bottom"/>
          </w:tcPr>
          <w:p w14:paraId="7AC496AE" w14:textId="4679CB1D"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Aggravated assault</w:t>
            </w:r>
          </w:p>
        </w:tc>
        <w:tc>
          <w:tcPr>
            <w:tcW w:w="1342" w:type="dxa"/>
            <w:tcBorders>
              <w:top w:val="nil"/>
              <w:left w:val="nil"/>
              <w:bottom w:val="nil"/>
              <w:right w:val="nil"/>
            </w:tcBorders>
            <w:shd w:val="clear" w:color="auto" w:fill="000000" w:themeFill="text1"/>
            <w:vAlign w:val="bottom"/>
          </w:tcPr>
          <w:p w14:paraId="62D57FE1" w14:textId="005C9D5F"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Robbery of an individual</w:t>
            </w:r>
          </w:p>
        </w:tc>
        <w:tc>
          <w:tcPr>
            <w:tcW w:w="1232" w:type="dxa"/>
            <w:tcBorders>
              <w:top w:val="nil"/>
              <w:left w:val="nil"/>
              <w:bottom w:val="nil"/>
              <w:right w:val="nil"/>
            </w:tcBorders>
            <w:shd w:val="clear" w:color="auto" w:fill="000000" w:themeFill="text1"/>
            <w:vAlign w:val="bottom"/>
          </w:tcPr>
          <w:p w14:paraId="1A165322" w14:textId="3B6F9755" w:rsidR="007A2504" w:rsidRPr="005A0320" w:rsidRDefault="007A2504" w:rsidP="005A0320">
            <w:pPr>
              <w:jc w:val="center"/>
              <w:rPr>
                <w:b/>
                <w:bCs/>
                <w:color w:val="FFFFFF" w:themeColor="background1"/>
                <w:sz w:val="21"/>
                <w:szCs w:val="21"/>
              </w:rPr>
            </w:pPr>
            <w:r w:rsidRPr="005A0320">
              <w:rPr>
                <w:b/>
                <w:bCs/>
                <w:color w:val="FFFFFF" w:themeColor="background1"/>
                <w:sz w:val="21"/>
                <w:szCs w:val="21"/>
              </w:rPr>
              <w:t>Rate per square mile</w:t>
            </w:r>
          </w:p>
        </w:tc>
        <w:tc>
          <w:tcPr>
            <w:tcW w:w="1524" w:type="dxa"/>
            <w:tcBorders>
              <w:top w:val="nil"/>
              <w:left w:val="nil"/>
              <w:bottom w:val="nil"/>
              <w:right w:val="nil"/>
            </w:tcBorders>
            <w:shd w:val="clear" w:color="auto" w:fill="000000" w:themeFill="text1"/>
            <w:vAlign w:val="bottom"/>
          </w:tcPr>
          <w:p w14:paraId="5A9DB160" w14:textId="35B5CAEB" w:rsidR="007A2504" w:rsidRPr="005A0320" w:rsidRDefault="00964E43" w:rsidP="005A0320">
            <w:pPr>
              <w:jc w:val="center"/>
              <w:rPr>
                <w:b/>
                <w:bCs/>
                <w:color w:val="FFFFFF" w:themeColor="background1"/>
                <w:sz w:val="21"/>
                <w:szCs w:val="21"/>
              </w:rPr>
            </w:pPr>
            <w:r w:rsidRPr="005A0320">
              <w:rPr>
                <w:b/>
                <w:bCs/>
                <w:color w:val="FFFFFF" w:themeColor="background1"/>
                <w:sz w:val="21"/>
                <w:szCs w:val="21"/>
              </w:rPr>
              <w:t xml:space="preserve">3 year average </w:t>
            </w:r>
            <w:r w:rsidR="00F90996" w:rsidRPr="005A0320">
              <w:rPr>
                <w:b/>
                <w:bCs/>
                <w:color w:val="FFFFFF" w:themeColor="background1"/>
                <w:sz w:val="21"/>
                <w:szCs w:val="21"/>
              </w:rPr>
              <w:t>rate per 100k people</w:t>
            </w:r>
          </w:p>
        </w:tc>
      </w:tr>
      <w:tr w:rsidR="007A2504" w14:paraId="330C4852" w14:textId="779E73A6" w:rsidTr="0086338B">
        <w:tc>
          <w:tcPr>
            <w:tcW w:w="1715" w:type="dxa"/>
          </w:tcPr>
          <w:p w14:paraId="5F9B108E" w14:textId="15102DE9" w:rsidR="007A2504" w:rsidRDefault="007A2504" w:rsidP="00120488">
            <w:r>
              <w:t>12 census tracts</w:t>
            </w:r>
          </w:p>
        </w:tc>
        <w:tc>
          <w:tcPr>
            <w:tcW w:w="1189" w:type="dxa"/>
          </w:tcPr>
          <w:p w14:paraId="5AD6FD1D" w14:textId="45165DD5" w:rsidR="007A2504" w:rsidRDefault="007A2504" w:rsidP="00AB41C5">
            <w:pPr>
              <w:jc w:val="both"/>
            </w:pPr>
            <w:r>
              <w:t>43</w:t>
            </w:r>
            <w:r w:rsidR="005B0CD7">
              <w:t>,</w:t>
            </w:r>
            <w:r>
              <w:t>679</w:t>
            </w:r>
          </w:p>
        </w:tc>
        <w:tc>
          <w:tcPr>
            <w:tcW w:w="898" w:type="dxa"/>
            <w:tcBorders>
              <w:top w:val="nil"/>
            </w:tcBorders>
          </w:tcPr>
          <w:p w14:paraId="04B92019" w14:textId="5060C83B" w:rsidR="007A2504" w:rsidRDefault="007A2504" w:rsidP="00AB41C5">
            <w:pPr>
              <w:jc w:val="both"/>
            </w:pPr>
            <w:r>
              <w:t>13.9</w:t>
            </w:r>
          </w:p>
        </w:tc>
        <w:tc>
          <w:tcPr>
            <w:tcW w:w="1209" w:type="dxa"/>
            <w:tcBorders>
              <w:top w:val="nil"/>
            </w:tcBorders>
          </w:tcPr>
          <w:p w14:paraId="4D111B66" w14:textId="43A33F25" w:rsidR="007A2504" w:rsidRDefault="007A2504" w:rsidP="00AB41C5">
            <w:pPr>
              <w:jc w:val="both"/>
            </w:pPr>
            <w:r>
              <w:t>64</w:t>
            </w:r>
          </w:p>
        </w:tc>
        <w:tc>
          <w:tcPr>
            <w:tcW w:w="1236" w:type="dxa"/>
            <w:tcBorders>
              <w:top w:val="nil"/>
            </w:tcBorders>
          </w:tcPr>
          <w:p w14:paraId="2454FA5D" w14:textId="28CA0887" w:rsidR="007A2504" w:rsidRDefault="007A2504" w:rsidP="00AB41C5">
            <w:pPr>
              <w:jc w:val="both"/>
            </w:pPr>
            <w:r>
              <w:t>1426</w:t>
            </w:r>
          </w:p>
        </w:tc>
        <w:tc>
          <w:tcPr>
            <w:tcW w:w="1342" w:type="dxa"/>
            <w:tcBorders>
              <w:top w:val="nil"/>
            </w:tcBorders>
          </w:tcPr>
          <w:p w14:paraId="6B15813F" w14:textId="6B2348E0" w:rsidR="007A2504" w:rsidRDefault="007A2504" w:rsidP="00AB41C5">
            <w:pPr>
              <w:jc w:val="both"/>
            </w:pPr>
            <w:r>
              <w:t>700</w:t>
            </w:r>
          </w:p>
        </w:tc>
        <w:tc>
          <w:tcPr>
            <w:tcW w:w="1232" w:type="dxa"/>
            <w:tcBorders>
              <w:top w:val="nil"/>
            </w:tcBorders>
          </w:tcPr>
          <w:p w14:paraId="25EDEE18" w14:textId="2362AD4E" w:rsidR="007A2504" w:rsidRDefault="007A2504" w:rsidP="00AB41C5">
            <w:pPr>
              <w:jc w:val="both"/>
            </w:pPr>
            <w:r>
              <w:t>157.6</w:t>
            </w:r>
          </w:p>
        </w:tc>
        <w:tc>
          <w:tcPr>
            <w:tcW w:w="1524" w:type="dxa"/>
            <w:tcBorders>
              <w:top w:val="nil"/>
            </w:tcBorders>
          </w:tcPr>
          <w:p w14:paraId="14C7AFD4" w14:textId="6C57D772" w:rsidR="007A2504" w:rsidRDefault="00F06D7D" w:rsidP="00AB41C5">
            <w:pPr>
              <w:jc w:val="both"/>
            </w:pPr>
            <w:r>
              <w:t>1671.3</w:t>
            </w:r>
          </w:p>
        </w:tc>
      </w:tr>
      <w:tr w:rsidR="007A2504" w14:paraId="003FDA44" w14:textId="2BBAAB6E" w:rsidTr="0086338B">
        <w:tc>
          <w:tcPr>
            <w:tcW w:w="1715" w:type="dxa"/>
          </w:tcPr>
          <w:p w14:paraId="793F4422" w14:textId="28BDFBEB" w:rsidR="007A2504" w:rsidRDefault="007A2504" w:rsidP="00AB41C5">
            <w:pPr>
              <w:jc w:val="both"/>
            </w:pPr>
            <w:r>
              <w:t>City of Durham</w:t>
            </w:r>
          </w:p>
        </w:tc>
        <w:tc>
          <w:tcPr>
            <w:tcW w:w="1189" w:type="dxa"/>
          </w:tcPr>
          <w:p w14:paraId="0B25BE19" w14:textId="6A2268AB" w:rsidR="007A2504" w:rsidRDefault="007A2504" w:rsidP="00AB41C5">
            <w:pPr>
              <w:jc w:val="both"/>
            </w:pPr>
            <w:r>
              <w:t>279</w:t>
            </w:r>
            <w:r w:rsidR="005B0CD7">
              <w:t>,</w:t>
            </w:r>
            <w:r>
              <w:t>447</w:t>
            </w:r>
          </w:p>
        </w:tc>
        <w:tc>
          <w:tcPr>
            <w:tcW w:w="898" w:type="dxa"/>
          </w:tcPr>
          <w:p w14:paraId="41FA6E5E" w14:textId="21B656EB" w:rsidR="007A2504" w:rsidRDefault="007A2504" w:rsidP="00AB41C5">
            <w:pPr>
              <w:jc w:val="both"/>
            </w:pPr>
            <w:r>
              <w:t>112.6</w:t>
            </w:r>
          </w:p>
        </w:tc>
        <w:tc>
          <w:tcPr>
            <w:tcW w:w="1209" w:type="dxa"/>
          </w:tcPr>
          <w:p w14:paraId="3F68E936" w14:textId="0E7A8359" w:rsidR="007A2504" w:rsidRDefault="007A2504" w:rsidP="00AB41C5">
            <w:pPr>
              <w:jc w:val="both"/>
            </w:pPr>
            <w:r>
              <w:t>106</w:t>
            </w:r>
          </w:p>
        </w:tc>
        <w:tc>
          <w:tcPr>
            <w:tcW w:w="1236" w:type="dxa"/>
          </w:tcPr>
          <w:p w14:paraId="36C78706" w14:textId="69B5F17E" w:rsidR="007A2504" w:rsidRDefault="007A2504" w:rsidP="00AB41C5">
            <w:pPr>
              <w:jc w:val="both"/>
            </w:pPr>
            <w:r>
              <w:t>2723</w:t>
            </w:r>
          </w:p>
        </w:tc>
        <w:tc>
          <w:tcPr>
            <w:tcW w:w="1342" w:type="dxa"/>
          </w:tcPr>
          <w:p w14:paraId="1F93B2D2" w14:textId="620F4D3D" w:rsidR="007A2504" w:rsidRDefault="007A2504" w:rsidP="00AB41C5">
            <w:pPr>
              <w:jc w:val="both"/>
            </w:pPr>
            <w:r>
              <w:t>1551</w:t>
            </w:r>
          </w:p>
        </w:tc>
        <w:tc>
          <w:tcPr>
            <w:tcW w:w="1232" w:type="dxa"/>
          </w:tcPr>
          <w:p w14:paraId="601EE879" w14:textId="3597FB3A" w:rsidR="007A2504" w:rsidRDefault="007A2504" w:rsidP="00AB41C5">
            <w:pPr>
              <w:jc w:val="both"/>
            </w:pPr>
            <w:r>
              <w:t>38.9</w:t>
            </w:r>
          </w:p>
        </w:tc>
        <w:tc>
          <w:tcPr>
            <w:tcW w:w="1524" w:type="dxa"/>
          </w:tcPr>
          <w:p w14:paraId="334F6032" w14:textId="7C73A339" w:rsidR="007A2504" w:rsidRDefault="006D78B1" w:rsidP="00AB41C5">
            <w:pPr>
              <w:jc w:val="both"/>
            </w:pPr>
            <w:r>
              <w:t>522.5</w:t>
            </w:r>
          </w:p>
        </w:tc>
      </w:tr>
      <w:tr w:rsidR="007A2504" w14:paraId="47049BF4" w14:textId="3FF783D8" w:rsidTr="0086338B">
        <w:tc>
          <w:tcPr>
            <w:tcW w:w="1715" w:type="dxa"/>
          </w:tcPr>
          <w:p w14:paraId="5FCC8CFD" w14:textId="46611DA2" w:rsidR="007A2504" w:rsidRDefault="00E70CE4" w:rsidP="000040F9">
            <w:pPr>
              <w:jc w:val="both"/>
            </w:pPr>
            <w:r>
              <w:t>Percent of total</w:t>
            </w:r>
          </w:p>
        </w:tc>
        <w:tc>
          <w:tcPr>
            <w:tcW w:w="1189" w:type="dxa"/>
          </w:tcPr>
          <w:p w14:paraId="4549B002" w14:textId="044022CC" w:rsidR="007A2504" w:rsidRDefault="007A2504" w:rsidP="000040F9">
            <w:pPr>
              <w:jc w:val="both"/>
            </w:pPr>
            <w:r>
              <w:t>15.4%</w:t>
            </w:r>
          </w:p>
        </w:tc>
        <w:tc>
          <w:tcPr>
            <w:tcW w:w="898" w:type="dxa"/>
          </w:tcPr>
          <w:p w14:paraId="36F21E5C" w14:textId="0AEC230E" w:rsidR="007A2504" w:rsidRDefault="007A2504" w:rsidP="000040F9">
            <w:pPr>
              <w:jc w:val="both"/>
            </w:pPr>
            <w:r>
              <w:t>12.4%</w:t>
            </w:r>
          </w:p>
        </w:tc>
        <w:tc>
          <w:tcPr>
            <w:tcW w:w="1209" w:type="dxa"/>
          </w:tcPr>
          <w:p w14:paraId="01837CE7" w14:textId="42E2C2F0" w:rsidR="007A2504" w:rsidRDefault="007A2504" w:rsidP="000040F9">
            <w:pPr>
              <w:jc w:val="both"/>
            </w:pPr>
            <w:r>
              <w:t>60.4%</w:t>
            </w:r>
          </w:p>
        </w:tc>
        <w:tc>
          <w:tcPr>
            <w:tcW w:w="1236" w:type="dxa"/>
          </w:tcPr>
          <w:p w14:paraId="2C5B565A" w14:textId="161F7701" w:rsidR="007A2504" w:rsidRDefault="007A2504" w:rsidP="000040F9">
            <w:pPr>
              <w:jc w:val="both"/>
            </w:pPr>
            <w:r>
              <w:t>52.4%</w:t>
            </w:r>
          </w:p>
        </w:tc>
        <w:tc>
          <w:tcPr>
            <w:tcW w:w="1342" w:type="dxa"/>
          </w:tcPr>
          <w:p w14:paraId="470C8985" w14:textId="43DB1B0C" w:rsidR="007A2504" w:rsidRDefault="007A2504" w:rsidP="000040F9">
            <w:pPr>
              <w:jc w:val="both"/>
            </w:pPr>
            <w:r>
              <w:t>45.1%</w:t>
            </w:r>
          </w:p>
        </w:tc>
        <w:tc>
          <w:tcPr>
            <w:tcW w:w="1232" w:type="dxa"/>
            <w:shd w:val="clear" w:color="auto" w:fill="000000" w:themeFill="text1"/>
          </w:tcPr>
          <w:p w14:paraId="592311AA" w14:textId="77777777" w:rsidR="007A2504" w:rsidRDefault="007A2504" w:rsidP="000040F9">
            <w:pPr>
              <w:jc w:val="both"/>
            </w:pPr>
          </w:p>
        </w:tc>
        <w:tc>
          <w:tcPr>
            <w:tcW w:w="1524" w:type="dxa"/>
            <w:shd w:val="clear" w:color="auto" w:fill="000000" w:themeFill="text1"/>
          </w:tcPr>
          <w:p w14:paraId="1589CAAA" w14:textId="77777777" w:rsidR="007A2504" w:rsidRDefault="007A2504" w:rsidP="000040F9">
            <w:pPr>
              <w:jc w:val="both"/>
            </w:pPr>
          </w:p>
        </w:tc>
      </w:tr>
    </w:tbl>
    <w:p w14:paraId="11154CB3" w14:textId="77777777" w:rsidR="0086338B" w:rsidRDefault="0086338B" w:rsidP="005929F8">
      <w:pPr>
        <w:spacing w:after="0"/>
      </w:pPr>
    </w:p>
    <w:p w14:paraId="21FC1868" w14:textId="4521DA1C" w:rsidR="005A0320" w:rsidRDefault="00C3764A" w:rsidP="005929F8">
      <w:pPr>
        <w:spacing w:after="0"/>
        <w:jc w:val="both"/>
      </w:pPr>
      <w:r>
        <w:t xml:space="preserve">In addition to high levels of violent crime, the </w:t>
      </w:r>
      <w:r w:rsidR="005B0CD7">
        <w:t xml:space="preserve">8 of the 12 census tracts were identified as experiencing high levels of risk factor exposure, and those tracts continue to experience </w:t>
      </w:r>
      <w:r>
        <w:t xml:space="preserve">high rates of </w:t>
      </w:r>
      <w:r w:rsidR="005A0320">
        <w:t>risk factors including poverty, low educational attainment, disrupted family structures, and children living in poverty (Table 2, p. )</w:t>
      </w:r>
      <w:r w:rsidR="004A6F76">
        <w:t xml:space="preserve">.  Peach highlights were placed over </w:t>
      </w:r>
      <w:r w:rsidR="00147062">
        <w:t>areas</w:t>
      </w:r>
      <w:r w:rsidR="004A6F76">
        <w:t xml:space="preserve"> where issues became more acute </w:t>
      </w:r>
      <w:r w:rsidR="00147062">
        <w:t xml:space="preserve">by census tract </w:t>
      </w:r>
      <w:r w:rsidR="004A6F76">
        <w:t>between 2013 and 2019.</w:t>
      </w:r>
    </w:p>
    <w:tbl>
      <w:tblPr>
        <w:tblStyle w:val="TableGrid"/>
        <w:tblpPr w:leftFromText="180" w:rightFromText="180" w:vertAnchor="text" w:horzAnchor="margin" w:tblpY="75"/>
        <w:tblW w:w="9630" w:type="dxa"/>
        <w:tblLayout w:type="fixed"/>
        <w:tblLook w:val="04A0" w:firstRow="1" w:lastRow="0" w:firstColumn="1" w:lastColumn="0" w:noHBand="0" w:noVBand="1"/>
      </w:tblPr>
      <w:tblGrid>
        <w:gridCol w:w="1345"/>
        <w:gridCol w:w="1085"/>
        <w:gridCol w:w="990"/>
        <w:gridCol w:w="1170"/>
        <w:gridCol w:w="1440"/>
        <w:gridCol w:w="1170"/>
        <w:gridCol w:w="900"/>
        <w:gridCol w:w="1530"/>
      </w:tblGrid>
      <w:tr w:rsidR="00C3764A" w:rsidRPr="00B103B0" w14:paraId="7B1B9BAA" w14:textId="77777777" w:rsidTr="000C5C4E">
        <w:trPr>
          <w:trHeight w:val="100"/>
        </w:trPr>
        <w:tc>
          <w:tcPr>
            <w:tcW w:w="9630" w:type="dxa"/>
            <w:gridSpan w:val="8"/>
            <w:tcBorders>
              <w:top w:val="nil"/>
              <w:left w:val="nil"/>
              <w:bottom w:val="nil"/>
              <w:right w:val="nil"/>
            </w:tcBorders>
            <w:shd w:val="clear" w:color="auto" w:fill="FFFFFF" w:themeFill="background1"/>
          </w:tcPr>
          <w:p w14:paraId="6132F631" w14:textId="77777777" w:rsidR="00C3764A" w:rsidRPr="00330E07" w:rsidRDefault="00C3764A" w:rsidP="005E5440">
            <w:pPr>
              <w:widowControl w:val="0"/>
              <w:rPr>
                <w:b/>
                <w:bCs/>
                <w:color w:val="FFFFFF" w:themeColor="background1"/>
              </w:rPr>
            </w:pPr>
            <w:r w:rsidRPr="00330E07">
              <w:rPr>
                <w:b/>
                <w:bCs/>
                <w:color w:val="000000" w:themeColor="text1"/>
              </w:rPr>
              <w:t>Table 1 Designated census tracts by key measures, 2013 and 2019</w:t>
            </w:r>
          </w:p>
        </w:tc>
      </w:tr>
      <w:tr w:rsidR="00C3764A" w:rsidRPr="00B103B0" w14:paraId="700EB68A" w14:textId="77777777" w:rsidTr="005E5440">
        <w:trPr>
          <w:trHeight w:val="100"/>
        </w:trPr>
        <w:tc>
          <w:tcPr>
            <w:tcW w:w="1345" w:type="dxa"/>
            <w:tcBorders>
              <w:top w:val="nil"/>
              <w:left w:val="nil"/>
              <w:bottom w:val="nil"/>
              <w:right w:val="nil"/>
            </w:tcBorders>
            <w:shd w:val="clear" w:color="auto" w:fill="44546A" w:themeFill="text2"/>
          </w:tcPr>
          <w:p w14:paraId="6D2FB374" w14:textId="77777777" w:rsidR="00C3764A" w:rsidRPr="005B0CD7" w:rsidRDefault="00C3764A" w:rsidP="005E5440">
            <w:pPr>
              <w:widowControl w:val="0"/>
              <w:jc w:val="both"/>
              <w:rPr>
                <w:b/>
                <w:bCs/>
                <w:color w:val="FFFFFF" w:themeColor="background1"/>
                <w:sz w:val="21"/>
                <w:szCs w:val="21"/>
              </w:rPr>
            </w:pPr>
          </w:p>
        </w:tc>
        <w:tc>
          <w:tcPr>
            <w:tcW w:w="2075" w:type="dxa"/>
            <w:gridSpan w:val="2"/>
            <w:tcBorders>
              <w:top w:val="nil"/>
              <w:left w:val="nil"/>
              <w:bottom w:val="nil"/>
              <w:right w:val="nil"/>
            </w:tcBorders>
            <w:shd w:val="clear" w:color="auto" w:fill="44546A" w:themeFill="text2"/>
          </w:tcPr>
          <w:p w14:paraId="5A045C27"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Population in poverty</w:t>
            </w:r>
          </w:p>
        </w:tc>
        <w:tc>
          <w:tcPr>
            <w:tcW w:w="2610" w:type="dxa"/>
            <w:gridSpan w:val="2"/>
            <w:tcBorders>
              <w:top w:val="nil"/>
              <w:left w:val="nil"/>
              <w:bottom w:val="nil"/>
              <w:right w:val="nil"/>
            </w:tcBorders>
            <w:shd w:val="clear" w:color="auto" w:fill="44546A" w:themeFill="text2"/>
          </w:tcPr>
          <w:p w14:paraId="74503D79"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Persons 25+ with less than high school diploma</w:t>
            </w:r>
          </w:p>
        </w:tc>
        <w:tc>
          <w:tcPr>
            <w:tcW w:w="2070" w:type="dxa"/>
            <w:gridSpan w:val="2"/>
            <w:tcBorders>
              <w:top w:val="nil"/>
              <w:left w:val="nil"/>
              <w:bottom w:val="nil"/>
              <w:right w:val="nil"/>
            </w:tcBorders>
            <w:shd w:val="clear" w:color="auto" w:fill="44546A" w:themeFill="text2"/>
          </w:tcPr>
          <w:p w14:paraId="45534E15"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Single-headed households</w:t>
            </w:r>
          </w:p>
        </w:tc>
        <w:tc>
          <w:tcPr>
            <w:tcW w:w="1530" w:type="dxa"/>
            <w:tcBorders>
              <w:top w:val="nil"/>
              <w:left w:val="nil"/>
              <w:bottom w:val="nil"/>
              <w:right w:val="nil"/>
            </w:tcBorders>
            <w:shd w:val="clear" w:color="auto" w:fill="44546A" w:themeFill="text2"/>
          </w:tcPr>
          <w:p w14:paraId="27E750AD"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 children in poverty</w:t>
            </w:r>
          </w:p>
        </w:tc>
      </w:tr>
      <w:tr w:rsidR="00C3764A" w:rsidRPr="00B103B0" w14:paraId="51346DBD" w14:textId="77777777" w:rsidTr="005E5440">
        <w:trPr>
          <w:trHeight w:val="100"/>
        </w:trPr>
        <w:tc>
          <w:tcPr>
            <w:tcW w:w="1345" w:type="dxa"/>
            <w:tcBorders>
              <w:top w:val="nil"/>
              <w:left w:val="nil"/>
              <w:bottom w:val="nil"/>
              <w:right w:val="nil"/>
            </w:tcBorders>
            <w:shd w:val="clear" w:color="auto" w:fill="44546A" w:themeFill="text2"/>
          </w:tcPr>
          <w:p w14:paraId="7F7DC716" w14:textId="77777777" w:rsidR="00C3764A" w:rsidRPr="005B0CD7" w:rsidRDefault="00C3764A" w:rsidP="005E5440">
            <w:pPr>
              <w:widowControl w:val="0"/>
              <w:jc w:val="both"/>
              <w:rPr>
                <w:b/>
                <w:bCs/>
                <w:color w:val="FFFFFF" w:themeColor="background1"/>
                <w:sz w:val="21"/>
                <w:szCs w:val="21"/>
              </w:rPr>
            </w:pPr>
            <w:r w:rsidRPr="005B0CD7">
              <w:rPr>
                <w:b/>
                <w:bCs/>
                <w:color w:val="FFFFFF" w:themeColor="background1"/>
                <w:sz w:val="21"/>
                <w:szCs w:val="21"/>
              </w:rPr>
              <w:t>2013 tracts</w:t>
            </w:r>
          </w:p>
        </w:tc>
        <w:tc>
          <w:tcPr>
            <w:tcW w:w="1085" w:type="dxa"/>
            <w:tcBorders>
              <w:top w:val="nil"/>
              <w:left w:val="nil"/>
              <w:bottom w:val="nil"/>
              <w:right w:val="nil"/>
            </w:tcBorders>
            <w:shd w:val="clear" w:color="auto" w:fill="44546A" w:themeFill="text2"/>
          </w:tcPr>
          <w:p w14:paraId="174B9A0B"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2013</w:t>
            </w:r>
          </w:p>
        </w:tc>
        <w:tc>
          <w:tcPr>
            <w:tcW w:w="990" w:type="dxa"/>
            <w:tcBorders>
              <w:top w:val="nil"/>
              <w:left w:val="nil"/>
              <w:bottom w:val="nil"/>
              <w:right w:val="nil"/>
            </w:tcBorders>
            <w:shd w:val="clear" w:color="auto" w:fill="44546A" w:themeFill="text2"/>
          </w:tcPr>
          <w:p w14:paraId="4A6165FF"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2019</w:t>
            </w:r>
          </w:p>
        </w:tc>
        <w:tc>
          <w:tcPr>
            <w:tcW w:w="1170" w:type="dxa"/>
            <w:tcBorders>
              <w:top w:val="nil"/>
              <w:left w:val="nil"/>
              <w:bottom w:val="nil"/>
              <w:right w:val="nil"/>
            </w:tcBorders>
            <w:shd w:val="clear" w:color="auto" w:fill="44546A" w:themeFill="text2"/>
          </w:tcPr>
          <w:p w14:paraId="1592C4DA"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2013</w:t>
            </w:r>
          </w:p>
        </w:tc>
        <w:tc>
          <w:tcPr>
            <w:tcW w:w="1440" w:type="dxa"/>
            <w:tcBorders>
              <w:top w:val="nil"/>
              <w:left w:val="nil"/>
              <w:bottom w:val="nil"/>
              <w:right w:val="nil"/>
            </w:tcBorders>
            <w:shd w:val="clear" w:color="auto" w:fill="44546A" w:themeFill="text2"/>
          </w:tcPr>
          <w:p w14:paraId="3A96912C"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2019</w:t>
            </w:r>
          </w:p>
        </w:tc>
        <w:tc>
          <w:tcPr>
            <w:tcW w:w="1170" w:type="dxa"/>
            <w:tcBorders>
              <w:top w:val="nil"/>
              <w:left w:val="nil"/>
              <w:bottom w:val="nil"/>
              <w:right w:val="nil"/>
            </w:tcBorders>
            <w:shd w:val="clear" w:color="auto" w:fill="44546A" w:themeFill="text2"/>
          </w:tcPr>
          <w:p w14:paraId="3D4C24BE" w14:textId="77777777" w:rsidR="00C3764A" w:rsidRPr="005B0CD7" w:rsidRDefault="00C3764A" w:rsidP="005E5440">
            <w:pPr>
              <w:widowControl w:val="0"/>
              <w:rPr>
                <w:b/>
                <w:bCs/>
                <w:color w:val="FFFFFF" w:themeColor="background1"/>
                <w:sz w:val="21"/>
                <w:szCs w:val="21"/>
              </w:rPr>
            </w:pPr>
            <w:r w:rsidRPr="005B0CD7">
              <w:rPr>
                <w:b/>
                <w:bCs/>
                <w:color w:val="FFFFFF" w:themeColor="background1"/>
                <w:sz w:val="21"/>
                <w:szCs w:val="21"/>
              </w:rPr>
              <w:t>2013</w:t>
            </w:r>
          </w:p>
        </w:tc>
        <w:tc>
          <w:tcPr>
            <w:tcW w:w="900" w:type="dxa"/>
            <w:tcBorders>
              <w:top w:val="nil"/>
              <w:left w:val="nil"/>
              <w:bottom w:val="nil"/>
              <w:right w:val="nil"/>
            </w:tcBorders>
            <w:shd w:val="clear" w:color="auto" w:fill="44546A" w:themeFill="text2"/>
          </w:tcPr>
          <w:p w14:paraId="2D2A6C1C"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2019</w:t>
            </w:r>
          </w:p>
        </w:tc>
        <w:tc>
          <w:tcPr>
            <w:tcW w:w="1530" w:type="dxa"/>
            <w:tcBorders>
              <w:top w:val="nil"/>
              <w:left w:val="nil"/>
              <w:bottom w:val="nil"/>
              <w:right w:val="nil"/>
            </w:tcBorders>
            <w:shd w:val="clear" w:color="auto" w:fill="44546A" w:themeFill="text2"/>
          </w:tcPr>
          <w:p w14:paraId="4F8234E7" w14:textId="77777777" w:rsidR="00C3764A" w:rsidRPr="005B0CD7" w:rsidRDefault="00C3764A" w:rsidP="005E5440">
            <w:pPr>
              <w:widowControl w:val="0"/>
              <w:jc w:val="center"/>
              <w:rPr>
                <w:b/>
                <w:bCs/>
                <w:color w:val="FFFFFF" w:themeColor="background1"/>
                <w:sz w:val="21"/>
                <w:szCs w:val="21"/>
              </w:rPr>
            </w:pPr>
            <w:r w:rsidRPr="005B0CD7">
              <w:rPr>
                <w:b/>
                <w:bCs/>
                <w:color w:val="FFFFFF" w:themeColor="background1"/>
                <w:sz w:val="21"/>
                <w:szCs w:val="21"/>
              </w:rPr>
              <w:t>2019</w:t>
            </w:r>
          </w:p>
        </w:tc>
      </w:tr>
      <w:tr w:rsidR="00C3764A" w:rsidRPr="002D45B2" w14:paraId="6C566E64" w14:textId="77777777" w:rsidTr="00147062">
        <w:trPr>
          <w:trHeight w:val="183"/>
        </w:trPr>
        <w:tc>
          <w:tcPr>
            <w:tcW w:w="1345" w:type="dxa"/>
            <w:tcBorders>
              <w:top w:val="nil"/>
            </w:tcBorders>
            <w:shd w:val="clear" w:color="auto" w:fill="FFFFFF" w:themeFill="background1"/>
            <w:vAlign w:val="bottom"/>
          </w:tcPr>
          <w:p w14:paraId="6362D41C"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9</w:t>
            </w:r>
          </w:p>
        </w:tc>
        <w:tc>
          <w:tcPr>
            <w:tcW w:w="1085" w:type="dxa"/>
            <w:tcBorders>
              <w:top w:val="nil"/>
            </w:tcBorders>
            <w:shd w:val="clear" w:color="auto" w:fill="FFFFFF" w:themeFill="background1"/>
            <w:vAlign w:val="bottom"/>
          </w:tcPr>
          <w:p w14:paraId="617017F4"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58.1%</w:t>
            </w:r>
          </w:p>
        </w:tc>
        <w:tc>
          <w:tcPr>
            <w:tcW w:w="990" w:type="dxa"/>
            <w:tcBorders>
              <w:top w:val="nil"/>
            </w:tcBorders>
            <w:shd w:val="clear" w:color="auto" w:fill="FFFFFF" w:themeFill="background1"/>
            <w:vAlign w:val="bottom"/>
          </w:tcPr>
          <w:p w14:paraId="2453C70E"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29%</w:t>
            </w:r>
          </w:p>
        </w:tc>
        <w:tc>
          <w:tcPr>
            <w:tcW w:w="1170" w:type="dxa"/>
            <w:shd w:val="clear" w:color="auto" w:fill="FFFFFF" w:themeFill="background1"/>
            <w:vAlign w:val="bottom"/>
          </w:tcPr>
          <w:p w14:paraId="3D082EA4"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38.7%</w:t>
            </w:r>
          </w:p>
        </w:tc>
        <w:tc>
          <w:tcPr>
            <w:tcW w:w="1440" w:type="dxa"/>
            <w:tcBorders>
              <w:top w:val="nil"/>
            </w:tcBorders>
            <w:shd w:val="clear" w:color="auto" w:fill="FFFFFF" w:themeFill="background1"/>
            <w:vAlign w:val="bottom"/>
          </w:tcPr>
          <w:p w14:paraId="7DF2192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33%</w:t>
            </w:r>
          </w:p>
        </w:tc>
        <w:tc>
          <w:tcPr>
            <w:tcW w:w="1170" w:type="dxa"/>
            <w:tcBorders>
              <w:top w:val="nil"/>
            </w:tcBorders>
            <w:shd w:val="clear" w:color="auto" w:fill="FFF2CC" w:themeFill="accent4" w:themeFillTint="33"/>
            <w:vAlign w:val="bottom"/>
          </w:tcPr>
          <w:p w14:paraId="4BBBC343"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38.1%</w:t>
            </w:r>
          </w:p>
        </w:tc>
        <w:tc>
          <w:tcPr>
            <w:tcW w:w="900" w:type="dxa"/>
            <w:tcBorders>
              <w:top w:val="nil"/>
            </w:tcBorders>
            <w:shd w:val="clear" w:color="auto" w:fill="FFF2CC" w:themeFill="accent4" w:themeFillTint="33"/>
            <w:vAlign w:val="bottom"/>
          </w:tcPr>
          <w:p w14:paraId="7D3EAFF0"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46%</w:t>
            </w:r>
          </w:p>
        </w:tc>
        <w:tc>
          <w:tcPr>
            <w:tcW w:w="1530" w:type="dxa"/>
            <w:tcBorders>
              <w:top w:val="nil"/>
            </w:tcBorders>
            <w:shd w:val="clear" w:color="auto" w:fill="FFFFFF" w:themeFill="background1"/>
            <w:vAlign w:val="bottom"/>
          </w:tcPr>
          <w:p w14:paraId="68F078C8"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54%</w:t>
            </w:r>
          </w:p>
        </w:tc>
      </w:tr>
      <w:tr w:rsidR="00C3764A" w:rsidRPr="00087C88" w14:paraId="6A4C0925" w14:textId="77777777" w:rsidTr="00147062">
        <w:tc>
          <w:tcPr>
            <w:tcW w:w="1345" w:type="dxa"/>
            <w:shd w:val="clear" w:color="auto" w:fill="FFFFFF" w:themeFill="background1"/>
            <w:vAlign w:val="bottom"/>
          </w:tcPr>
          <w:p w14:paraId="4AD5D51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10.01</w:t>
            </w:r>
          </w:p>
        </w:tc>
        <w:tc>
          <w:tcPr>
            <w:tcW w:w="1085" w:type="dxa"/>
            <w:tcBorders>
              <w:top w:val="nil"/>
            </w:tcBorders>
            <w:shd w:val="clear" w:color="auto" w:fill="FFFFFF" w:themeFill="background1"/>
            <w:vAlign w:val="bottom"/>
          </w:tcPr>
          <w:p w14:paraId="085C700F"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43.7%</w:t>
            </w:r>
          </w:p>
        </w:tc>
        <w:tc>
          <w:tcPr>
            <w:tcW w:w="990" w:type="dxa"/>
            <w:tcBorders>
              <w:top w:val="nil"/>
            </w:tcBorders>
            <w:shd w:val="clear" w:color="auto" w:fill="FFFFFF" w:themeFill="background1"/>
            <w:vAlign w:val="bottom"/>
          </w:tcPr>
          <w:p w14:paraId="5D43925D"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31%</w:t>
            </w:r>
          </w:p>
        </w:tc>
        <w:tc>
          <w:tcPr>
            <w:tcW w:w="1170" w:type="dxa"/>
            <w:shd w:val="clear" w:color="auto" w:fill="FFF2CC" w:themeFill="accent4" w:themeFillTint="33"/>
            <w:vAlign w:val="bottom"/>
          </w:tcPr>
          <w:p w14:paraId="0452EC5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38.4%</w:t>
            </w:r>
          </w:p>
        </w:tc>
        <w:tc>
          <w:tcPr>
            <w:tcW w:w="1440" w:type="dxa"/>
            <w:tcBorders>
              <w:top w:val="nil"/>
            </w:tcBorders>
            <w:shd w:val="clear" w:color="auto" w:fill="FFF2CC" w:themeFill="accent4" w:themeFillTint="33"/>
            <w:vAlign w:val="bottom"/>
          </w:tcPr>
          <w:p w14:paraId="7C42081E"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41.8%</w:t>
            </w:r>
          </w:p>
        </w:tc>
        <w:tc>
          <w:tcPr>
            <w:tcW w:w="1170" w:type="dxa"/>
            <w:tcBorders>
              <w:top w:val="nil"/>
            </w:tcBorders>
            <w:shd w:val="clear" w:color="auto" w:fill="FFF2CC" w:themeFill="accent4" w:themeFillTint="33"/>
            <w:vAlign w:val="bottom"/>
          </w:tcPr>
          <w:p w14:paraId="0C3E556C"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34.2%</w:t>
            </w:r>
          </w:p>
        </w:tc>
        <w:tc>
          <w:tcPr>
            <w:tcW w:w="900" w:type="dxa"/>
            <w:tcBorders>
              <w:top w:val="nil"/>
            </w:tcBorders>
            <w:shd w:val="clear" w:color="auto" w:fill="FFF2CC" w:themeFill="accent4" w:themeFillTint="33"/>
            <w:vAlign w:val="bottom"/>
          </w:tcPr>
          <w:p w14:paraId="4E5FC0B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47%</w:t>
            </w:r>
          </w:p>
        </w:tc>
        <w:tc>
          <w:tcPr>
            <w:tcW w:w="1530" w:type="dxa"/>
            <w:tcBorders>
              <w:top w:val="nil"/>
            </w:tcBorders>
            <w:shd w:val="clear" w:color="auto" w:fill="FFFFFF" w:themeFill="background1"/>
            <w:vAlign w:val="bottom"/>
          </w:tcPr>
          <w:p w14:paraId="4A70F3F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40%</w:t>
            </w:r>
          </w:p>
        </w:tc>
      </w:tr>
      <w:tr w:rsidR="00147062" w:rsidRPr="002D45B2" w14:paraId="2398C8E4" w14:textId="77777777" w:rsidTr="00147062">
        <w:tc>
          <w:tcPr>
            <w:tcW w:w="1345" w:type="dxa"/>
            <w:shd w:val="clear" w:color="auto" w:fill="FFFFFF" w:themeFill="background1"/>
            <w:vAlign w:val="bottom"/>
          </w:tcPr>
          <w:p w14:paraId="0207B60C"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10.02</w:t>
            </w:r>
          </w:p>
        </w:tc>
        <w:tc>
          <w:tcPr>
            <w:tcW w:w="1085" w:type="dxa"/>
            <w:shd w:val="clear" w:color="auto" w:fill="FFF2CC" w:themeFill="accent4" w:themeFillTint="33"/>
            <w:vAlign w:val="bottom"/>
          </w:tcPr>
          <w:p w14:paraId="7CDFA98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30.8%</w:t>
            </w:r>
          </w:p>
        </w:tc>
        <w:tc>
          <w:tcPr>
            <w:tcW w:w="990" w:type="dxa"/>
            <w:shd w:val="clear" w:color="auto" w:fill="FFF2CC" w:themeFill="accent4" w:themeFillTint="33"/>
            <w:vAlign w:val="bottom"/>
          </w:tcPr>
          <w:p w14:paraId="2B77583E"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55%</w:t>
            </w:r>
          </w:p>
        </w:tc>
        <w:tc>
          <w:tcPr>
            <w:tcW w:w="1170" w:type="dxa"/>
            <w:shd w:val="clear" w:color="auto" w:fill="FFF2CC" w:themeFill="accent4" w:themeFillTint="33"/>
            <w:vAlign w:val="bottom"/>
          </w:tcPr>
          <w:p w14:paraId="1C8115EC"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35.8%</w:t>
            </w:r>
          </w:p>
        </w:tc>
        <w:tc>
          <w:tcPr>
            <w:tcW w:w="1440" w:type="dxa"/>
            <w:shd w:val="clear" w:color="auto" w:fill="FFF2CC" w:themeFill="accent4" w:themeFillTint="33"/>
            <w:vAlign w:val="bottom"/>
          </w:tcPr>
          <w:p w14:paraId="1F32B89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40.9%</w:t>
            </w:r>
          </w:p>
        </w:tc>
        <w:tc>
          <w:tcPr>
            <w:tcW w:w="1170" w:type="dxa"/>
            <w:shd w:val="clear" w:color="auto" w:fill="FFF2CC" w:themeFill="accent4" w:themeFillTint="33"/>
            <w:vAlign w:val="bottom"/>
          </w:tcPr>
          <w:p w14:paraId="77DFE84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43.1%</w:t>
            </w:r>
          </w:p>
        </w:tc>
        <w:tc>
          <w:tcPr>
            <w:tcW w:w="900" w:type="dxa"/>
            <w:shd w:val="clear" w:color="auto" w:fill="FFF2CC" w:themeFill="accent4" w:themeFillTint="33"/>
            <w:vAlign w:val="bottom"/>
          </w:tcPr>
          <w:p w14:paraId="63DF7FFA"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57%</w:t>
            </w:r>
          </w:p>
        </w:tc>
        <w:tc>
          <w:tcPr>
            <w:tcW w:w="1530" w:type="dxa"/>
            <w:shd w:val="clear" w:color="auto" w:fill="FFFFFF" w:themeFill="background1"/>
            <w:vAlign w:val="bottom"/>
          </w:tcPr>
          <w:p w14:paraId="103D880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73%</w:t>
            </w:r>
          </w:p>
        </w:tc>
      </w:tr>
      <w:tr w:rsidR="00C3764A" w:rsidRPr="002D45B2" w14:paraId="4B869B23" w14:textId="77777777" w:rsidTr="00147062">
        <w:tc>
          <w:tcPr>
            <w:tcW w:w="1345" w:type="dxa"/>
            <w:shd w:val="clear" w:color="auto" w:fill="FFFFFF" w:themeFill="background1"/>
            <w:vAlign w:val="bottom"/>
          </w:tcPr>
          <w:p w14:paraId="375FA3D4"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11</w:t>
            </w:r>
          </w:p>
        </w:tc>
        <w:tc>
          <w:tcPr>
            <w:tcW w:w="1085" w:type="dxa"/>
            <w:shd w:val="clear" w:color="auto" w:fill="FFFFFF" w:themeFill="background1"/>
            <w:vAlign w:val="bottom"/>
          </w:tcPr>
          <w:p w14:paraId="6B1CBD0D"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44.2%</w:t>
            </w:r>
          </w:p>
        </w:tc>
        <w:tc>
          <w:tcPr>
            <w:tcW w:w="990" w:type="dxa"/>
            <w:shd w:val="clear" w:color="auto" w:fill="FFFFFF" w:themeFill="background1"/>
            <w:vAlign w:val="bottom"/>
          </w:tcPr>
          <w:p w14:paraId="488D8F09"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41%</w:t>
            </w:r>
          </w:p>
        </w:tc>
        <w:tc>
          <w:tcPr>
            <w:tcW w:w="1170" w:type="dxa"/>
            <w:shd w:val="clear" w:color="auto" w:fill="FFFFFF" w:themeFill="background1"/>
            <w:vAlign w:val="bottom"/>
          </w:tcPr>
          <w:p w14:paraId="79B53B1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27.6%</w:t>
            </w:r>
          </w:p>
        </w:tc>
        <w:tc>
          <w:tcPr>
            <w:tcW w:w="1440" w:type="dxa"/>
            <w:shd w:val="clear" w:color="auto" w:fill="FFFFFF" w:themeFill="background1"/>
            <w:vAlign w:val="bottom"/>
          </w:tcPr>
          <w:p w14:paraId="38A8ADA2"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26.7%</w:t>
            </w:r>
          </w:p>
        </w:tc>
        <w:tc>
          <w:tcPr>
            <w:tcW w:w="1170" w:type="dxa"/>
            <w:shd w:val="clear" w:color="auto" w:fill="FFF2CC" w:themeFill="accent4" w:themeFillTint="33"/>
            <w:vAlign w:val="bottom"/>
          </w:tcPr>
          <w:p w14:paraId="3A19F66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31.5%</w:t>
            </w:r>
          </w:p>
        </w:tc>
        <w:tc>
          <w:tcPr>
            <w:tcW w:w="900" w:type="dxa"/>
            <w:shd w:val="clear" w:color="auto" w:fill="FFF2CC" w:themeFill="accent4" w:themeFillTint="33"/>
            <w:vAlign w:val="bottom"/>
          </w:tcPr>
          <w:p w14:paraId="110E52A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42%</w:t>
            </w:r>
          </w:p>
        </w:tc>
        <w:tc>
          <w:tcPr>
            <w:tcW w:w="1530" w:type="dxa"/>
            <w:shd w:val="clear" w:color="auto" w:fill="FFFFFF" w:themeFill="background1"/>
            <w:vAlign w:val="bottom"/>
          </w:tcPr>
          <w:p w14:paraId="6D8612A8"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61%</w:t>
            </w:r>
          </w:p>
        </w:tc>
      </w:tr>
      <w:tr w:rsidR="00C3764A" w:rsidRPr="002D45B2" w14:paraId="63F9937D" w14:textId="77777777" w:rsidTr="00147062">
        <w:tc>
          <w:tcPr>
            <w:tcW w:w="1345" w:type="dxa"/>
            <w:shd w:val="clear" w:color="auto" w:fill="FFFFFF" w:themeFill="background1"/>
            <w:vAlign w:val="bottom"/>
          </w:tcPr>
          <w:p w14:paraId="05FA5AF8"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13.01</w:t>
            </w:r>
          </w:p>
        </w:tc>
        <w:tc>
          <w:tcPr>
            <w:tcW w:w="1085" w:type="dxa"/>
            <w:shd w:val="clear" w:color="auto" w:fill="FFFFFF" w:themeFill="background1"/>
            <w:vAlign w:val="bottom"/>
          </w:tcPr>
          <w:p w14:paraId="708099F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45.6%</w:t>
            </w:r>
          </w:p>
        </w:tc>
        <w:tc>
          <w:tcPr>
            <w:tcW w:w="990" w:type="dxa"/>
            <w:shd w:val="clear" w:color="auto" w:fill="FFFFFF" w:themeFill="background1"/>
            <w:vAlign w:val="bottom"/>
          </w:tcPr>
          <w:p w14:paraId="10A033BD"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26%</w:t>
            </w:r>
          </w:p>
        </w:tc>
        <w:tc>
          <w:tcPr>
            <w:tcW w:w="1170" w:type="dxa"/>
            <w:shd w:val="clear" w:color="auto" w:fill="FFFFFF" w:themeFill="background1"/>
            <w:vAlign w:val="bottom"/>
          </w:tcPr>
          <w:p w14:paraId="6CED8F62"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25.3%</w:t>
            </w:r>
          </w:p>
        </w:tc>
        <w:tc>
          <w:tcPr>
            <w:tcW w:w="1440" w:type="dxa"/>
            <w:shd w:val="clear" w:color="auto" w:fill="FFFFFF" w:themeFill="background1"/>
            <w:vAlign w:val="bottom"/>
          </w:tcPr>
          <w:p w14:paraId="70A28581"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20.5%</w:t>
            </w:r>
          </w:p>
        </w:tc>
        <w:tc>
          <w:tcPr>
            <w:tcW w:w="1170" w:type="dxa"/>
            <w:shd w:val="clear" w:color="auto" w:fill="FFF2CC" w:themeFill="accent4" w:themeFillTint="33"/>
            <w:vAlign w:val="bottom"/>
          </w:tcPr>
          <w:p w14:paraId="25E89D13"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37.1%</w:t>
            </w:r>
          </w:p>
        </w:tc>
        <w:tc>
          <w:tcPr>
            <w:tcW w:w="900" w:type="dxa"/>
            <w:shd w:val="clear" w:color="auto" w:fill="FFF2CC" w:themeFill="accent4" w:themeFillTint="33"/>
            <w:vAlign w:val="bottom"/>
          </w:tcPr>
          <w:p w14:paraId="67DEBB71"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47%</w:t>
            </w:r>
          </w:p>
        </w:tc>
        <w:tc>
          <w:tcPr>
            <w:tcW w:w="1530" w:type="dxa"/>
            <w:shd w:val="clear" w:color="auto" w:fill="FFFFFF" w:themeFill="background1"/>
            <w:vAlign w:val="bottom"/>
          </w:tcPr>
          <w:p w14:paraId="66C9BA3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82%</w:t>
            </w:r>
          </w:p>
        </w:tc>
      </w:tr>
      <w:tr w:rsidR="00C3764A" w:rsidRPr="002D45B2" w14:paraId="6499AAB2" w14:textId="77777777" w:rsidTr="00147062">
        <w:tc>
          <w:tcPr>
            <w:tcW w:w="1345" w:type="dxa"/>
            <w:shd w:val="clear" w:color="auto" w:fill="FFFFFF" w:themeFill="background1"/>
            <w:vAlign w:val="bottom"/>
          </w:tcPr>
          <w:p w14:paraId="789C157F"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13.04</w:t>
            </w:r>
          </w:p>
        </w:tc>
        <w:tc>
          <w:tcPr>
            <w:tcW w:w="1085" w:type="dxa"/>
            <w:shd w:val="clear" w:color="auto" w:fill="FFF2CC" w:themeFill="accent4" w:themeFillTint="33"/>
            <w:vAlign w:val="bottom"/>
          </w:tcPr>
          <w:p w14:paraId="16F1A958"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37.1%</w:t>
            </w:r>
          </w:p>
        </w:tc>
        <w:tc>
          <w:tcPr>
            <w:tcW w:w="990" w:type="dxa"/>
            <w:shd w:val="clear" w:color="auto" w:fill="FFF2CC" w:themeFill="accent4" w:themeFillTint="33"/>
            <w:vAlign w:val="bottom"/>
          </w:tcPr>
          <w:p w14:paraId="4FFA405A"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40%</w:t>
            </w:r>
          </w:p>
        </w:tc>
        <w:tc>
          <w:tcPr>
            <w:tcW w:w="1170" w:type="dxa"/>
            <w:shd w:val="clear" w:color="auto" w:fill="FFFFFF" w:themeFill="background1"/>
            <w:vAlign w:val="bottom"/>
          </w:tcPr>
          <w:p w14:paraId="4E839D0D"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42.0%</w:t>
            </w:r>
          </w:p>
        </w:tc>
        <w:tc>
          <w:tcPr>
            <w:tcW w:w="1440" w:type="dxa"/>
            <w:shd w:val="clear" w:color="auto" w:fill="FFFFFF" w:themeFill="background1"/>
            <w:vAlign w:val="bottom"/>
          </w:tcPr>
          <w:p w14:paraId="2A2CEC31"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30.2%</w:t>
            </w:r>
          </w:p>
        </w:tc>
        <w:tc>
          <w:tcPr>
            <w:tcW w:w="1170" w:type="dxa"/>
            <w:shd w:val="clear" w:color="auto" w:fill="FFF2CC" w:themeFill="accent4" w:themeFillTint="33"/>
            <w:vAlign w:val="bottom"/>
          </w:tcPr>
          <w:p w14:paraId="186DDFEE"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34.9%</w:t>
            </w:r>
          </w:p>
        </w:tc>
        <w:tc>
          <w:tcPr>
            <w:tcW w:w="900" w:type="dxa"/>
            <w:shd w:val="clear" w:color="auto" w:fill="FFF2CC" w:themeFill="accent4" w:themeFillTint="33"/>
            <w:vAlign w:val="bottom"/>
          </w:tcPr>
          <w:p w14:paraId="4A3475EB"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67%</w:t>
            </w:r>
          </w:p>
        </w:tc>
        <w:tc>
          <w:tcPr>
            <w:tcW w:w="1530" w:type="dxa"/>
            <w:shd w:val="clear" w:color="auto" w:fill="FFFFFF" w:themeFill="background1"/>
            <w:vAlign w:val="bottom"/>
          </w:tcPr>
          <w:p w14:paraId="599C84A6" w14:textId="69462C08"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68%</w:t>
            </w:r>
          </w:p>
        </w:tc>
      </w:tr>
      <w:tr w:rsidR="00C3764A" w:rsidRPr="002D45B2" w14:paraId="6A7B5707" w14:textId="77777777" w:rsidTr="00147062">
        <w:tc>
          <w:tcPr>
            <w:tcW w:w="1345" w:type="dxa"/>
            <w:shd w:val="clear" w:color="auto" w:fill="FFFFFF" w:themeFill="background1"/>
            <w:vAlign w:val="bottom"/>
          </w:tcPr>
          <w:p w14:paraId="7636590F"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14</w:t>
            </w:r>
          </w:p>
        </w:tc>
        <w:tc>
          <w:tcPr>
            <w:tcW w:w="1085" w:type="dxa"/>
            <w:shd w:val="clear" w:color="auto" w:fill="FFFFFF" w:themeFill="background1"/>
            <w:vAlign w:val="bottom"/>
          </w:tcPr>
          <w:p w14:paraId="1E0391F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58.7%</w:t>
            </w:r>
          </w:p>
        </w:tc>
        <w:tc>
          <w:tcPr>
            <w:tcW w:w="990" w:type="dxa"/>
            <w:shd w:val="clear" w:color="auto" w:fill="FFFFFF" w:themeFill="background1"/>
            <w:vAlign w:val="bottom"/>
          </w:tcPr>
          <w:p w14:paraId="0A032113"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51%</w:t>
            </w:r>
          </w:p>
        </w:tc>
        <w:tc>
          <w:tcPr>
            <w:tcW w:w="1170" w:type="dxa"/>
            <w:shd w:val="clear" w:color="auto" w:fill="FFFFFF" w:themeFill="background1"/>
            <w:vAlign w:val="bottom"/>
          </w:tcPr>
          <w:p w14:paraId="35188ACD"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36.3%</w:t>
            </w:r>
          </w:p>
        </w:tc>
        <w:tc>
          <w:tcPr>
            <w:tcW w:w="1440" w:type="dxa"/>
            <w:shd w:val="clear" w:color="auto" w:fill="FFFFFF" w:themeFill="background1"/>
            <w:vAlign w:val="bottom"/>
          </w:tcPr>
          <w:p w14:paraId="0991BD7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32.4</w:t>
            </w:r>
          </w:p>
        </w:tc>
        <w:tc>
          <w:tcPr>
            <w:tcW w:w="1170" w:type="dxa"/>
            <w:shd w:val="clear" w:color="auto" w:fill="FFF2CC" w:themeFill="accent4" w:themeFillTint="33"/>
            <w:vAlign w:val="bottom"/>
          </w:tcPr>
          <w:p w14:paraId="371DE2F5"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62.6%</w:t>
            </w:r>
          </w:p>
        </w:tc>
        <w:tc>
          <w:tcPr>
            <w:tcW w:w="900" w:type="dxa"/>
            <w:shd w:val="clear" w:color="auto" w:fill="FFF2CC" w:themeFill="accent4" w:themeFillTint="33"/>
            <w:vAlign w:val="bottom"/>
          </w:tcPr>
          <w:p w14:paraId="1098A65A"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73%</w:t>
            </w:r>
          </w:p>
        </w:tc>
        <w:tc>
          <w:tcPr>
            <w:tcW w:w="1530" w:type="dxa"/>
            <w:shd w:val="clear" w:color="auto" w:fill="FFFFFF" w:themeFill="background1"/>
            <w:vAlign w:val="bottom"/>
          </w:tcPr>
          <w:p w14:paraId="4B3279E6" w14:textId="77777777" w:rsidR="00C3764A" w:rsidRPr="005B0CD7" w:rsidRDefault="00C3764A" w:rsidP="005E5440">
            <w:pPr>
              <w:widowControl w:val="0"/>
              <w:jc w:val="center"/>
              <w:rPr>
                <w:rFonts w:cstheme="minorHAnsi"/>
                <w:b/>
                <w:bCs/>
                <w:color w:val="000000" w:themeColor="text1"/>
                <w:sz w:val="21"/>
                <w:szCs w:val="21"/>
              </w:rPr>
            </w:pPr>
            <w:r w:rsidRPr="005B0CD7">
              <w:rPr>
                <w:rFonts w:cstheme="minorHAnsi"/>
                <w:bCs/>
                <w:color w:val="000000" w:themeColor="text1"/>
                <w:sz w:val="21"/>
                <w:szCs w:val="21"/>
              </w:rPr>
              <w:t>80%</w:t>
            </w:r>
          </w:p>
        </w:tc>
      </w:tr>
      <w:tr w:rsidR="00C3764A" w:rsidRPr="002D45B2" w14:paraId="45CDFD89" w14:textId="77777777" w:rsidTr="005E5440">
        <w:trPr>
          <w:trHeight w:val="200"/>
        </w:trPr>
        <w:tc>
          <w:tcPr>
            <w:tcW w:w="1345" w:type="dxa"/>
            <w:shd w:val="clear" w:color="auto" w:fill="FFFFFF" w:themeFill="background1"/>
            <w:vAlign w:val="bottom"/>
          </w:tcPr>
          <w:p w14:paraId="18C685A8"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23</w:t>
            </w:r>
          </w:p>
        </w:tc>
        <w:tc>
          <w:tcPr>
            <w:tcW w:w="1085" w:type="dxa"/>
            <w:shd w:val="clear" w:color="auto" w:fill="FFFFFF" w:themeFill="background1"/>
            <w:vAlign w:val="bottom"/>
          </w:tcPr>
          <w:p w14:paraId="130236E8"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59.7%</w:t>
            </w:r>
          </w:p>
        </w:tc>
        <w:tc>
          <w:tcPr>
            <w:tcW w:w="990" w:type="dxa"/>
            <w:shd w:val="clear" w:color="auto" w:fill="FFFFFF" w:themeFill="background1"/>
            <w:vAlign w:val="bottom"/>
          </w:tcPr>
          <w:p w14:paraId="57011096"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43%</w:t>
            </w:r>
          </w:p>
        </w:tc>
        <w:tc>
          <w:tcPr>
            <w:tcW w:w="1170" w:type="dxa"/>
            <w:shd w:val="clear" w:color="auto" w:fill="FFFFFF" w:themeFill="background1"/>
            <w:vAlign w:val="bottom"/>
          </w:tcPr>
          <w:p w14:paraId="5EE62E12"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43.4%</w:t>
            </w:r>
          </w:p>
        </w:tc>
        <w:tc>
          <w:tcPr>
            <w:tcW w:w="1440" w:type="dxa"/>
            <w:shd w:val="clear" w:color="auto" w:fill="FFFFFF" w:themeFill="background1"/>
            <w:vAlign w:val="bottom"/>
          </w:tcPr>
          <w:p w14:paraId="3F8251BD"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19.7%</w:t>
            </w:r>
          </w:p>
        </w:tc>
        <w:tc>
          <w:tcPr>
            <w:tcW w:w="1170" w:type="dxa"/>
            <w:shd w:val="clear" w:color="auto" w:fill="FFFFFF" w:themeFill="background1"/>
            <w:vAlign w:val="bottom"/>
          </w:tcPr>
          <w:p w14:paraId="05869A67"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35.3%</w:t>
            </w:r>
          </w:p>
        </w:tc>
        <w:tc>
          <w:tcPr>
            <w:tcW w:w="900" w:type="dxa"/>
            <w:shd w:val="clear" w:color="auto" w:fill="FFFFFF" w:themeFill="background1"/>
            <w:vAlign w:val="bottom"/>
          </w:tcPr>
          <w:p w14:paraId="17DE139F"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17%</w:t>
            </w:r>
          </w:p>
        </w:tc>
        <w:tc>
          <w:tcPr>
            <w:tcW w:w="1530" w:type="dxa"/>
            <w:shd w:val="clear" w:color="auto" w:fill="FFFFFF" w:themeFill="background1"/>
            <w:vAlign w:val="bottom"/>
          </w:tcPr>
          <w:p w14:paraId="3DA38910" w14:textId="77777777" w:rsidR="00C3764A" w:rsidRPr="00E14702" w:rsidRDefault="00C3764A" w:rsidP="005E5440">
            <w:pPr>
              <w:widowControl w:val="0"/>
              <w:jc w:val="center"/>
              <w:rPr>
                <w:rFonts w:cstheme="minorHAnsi"/>
                <w:b/>
                <w:bCs/>
                <w:color w:val="000000" w:themeColor="text1"/>
              </w:rPr>
            </w:pPr>
            <w:r w:rsidRPr="00E14702">
              <w:rPr>
                <w:rFonts w:cstheme="minorHAnsi"/>
                <w:bCs/>
                <w:color w:val="000000" w:themeColor="text1"/>
              </w:rPr>
              <w:t>55%</w:t>
            </w:r>
          </w:p>
        </w:tc>
      </w:tr>
      <w:tr w:rsidR="002E423D" w:rsidRPr="002D45B2" w14:paraId="1B639F3E" w14:textId="77777777" w:rsidTr="00327867">
        <w:trPr>
          <w:trHeight w:val="200"/>
        </w:trPr>
        <w:tc>
          <w:tcPr>
            <w:tcW w:w="9630" w:type="dxa"/>
            <w:gridSpan w:val="8"/>
            <w:shd w:val="clear" w:color="auto" w:fill="44546A" w:themeFill="text2"/>
            <w:vAlign w:val="bottom"/>
          </w:tcPr>
          <w:p w14:paraId="16677E43" w14:textId="1736B49F" w:rsidR="002E423D" w:rsidRPr="00327867" w:rsidRDefault="002E423D" w:rsidP="005E5440">
            <w:pPr>
              <w:widowControl w:val="0"/>
              <w:jc w:val="center"/>
              <w:rPr>
                <w:rFonts w:cstheme="minorHAnsi"/>
                <w:b/>
                <w:color w:val="FFFFFF" w:themeColor="background1"/>
                <w:sz w:val="21"/>
                <w:szCs w:val="21"/>
              </w:rPr>
            </w:pPr>
            <w:r w:rsidRPr="00327867">
              <w:rPr>
                <w:rFonts w:cstheme="minorHAnsi"/>
                <w:b/>
                <w:color w:val="FFFFFF" w:themeColor="background1"/>
                <w:sz w:val="21"/>
                <w:szCs w:val="21"/>
              </w:rPr>
              <w:t>Additional census tracts explored in this report</w:t>
            </w:r>
          </w:p>
        </w:tc>
      </w:tr>
      <w:tr w:rsidR="004D0F97" w:rsidRPr="00327867" w14:paraId="7E040268" w14:textId="77777777" w:rsidTr="000C5C4E">
        <w:trPr>
          <w:trHeight w:val="200"/>
        </w:trPr>
        <w:tc>
          <w:tcPr>
            <w:tcW w:w="1345" w:type="dxa"/>
            <w:tcBorders>
              <w:right w:val="nil"/>
            </w:tcBorders>
            <w:shd w:val="clear" w:color="auto" w:fill="FFFFFF" w:themeFill="background1"/>
            <w:vAlign w:val="bottom"/>
          </w:tcPr>
          <w:p w14:paraId="03EC8232" w14:textId="4CDB01DC" w:rsidR="004D0F97" w:rsidRPr="00327867" w:rsidRDefault="004D0F97"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1.01</w:t>
            </w:r>
          </w:p>
        </w:tc>
        <w:tc>
          <w:tcPr>
            <w:tcW w:w="1085" w:type="dxa"/>
            <w:tcBorders>
              <w:top w:val="nil"/>
              <w:left w:val="nil"/>
              <w:bottom w:val="nil"/>
              <w:right w:val="nil"/>
            </w:tcBorders>
            <w:shd w:val="clear" w:color="auto" w:fill="44546A" w:themeFill="text2"/>
            <w:vAlign w:val="bottom"/>
          </w:tcPr>
          <w:p w14:paraId="234B5AA2" w14:textId="77777777" w:rsidR="004D0F97" w:rsidRPr="00327867" w:rsidRDefault="004D0F97" w:rsidP="005E5440">
            <w:pPr>
              <w:widowControl w:val="0"/>
              <w:jc w:val="center"/>
              <w:rPr>
                <w:rFonts w:cstheme="minorHAnsi"/>
                <w:bCs/>
                <w:color w:val="000000" w:themeColor="text1"/>
                <w:sz w:val="21"/>
                <w:szCs w:val="21"/>
              </w:rPr>
            </w:pPr>
          </w:p>
        </w:tc>
        <w:tc>
          <w:tcPr>
            <w:tcW w:w="990" w:type="dxa"/>
            <w:tcBorders>
              <w:left w:val="nil"/>
              <w:right w:val="nil"/>
            </w:tcBorders>
            <w:shd w:val="clear" w:color="auto" w:fill="FFFFFF" w:themeFill="background1"/>
            <w:vAlign w:val="bottom"/>
          </w:tcPr>
          <w:p w14:paraId="1CE0C19C" w14:textId="26A476DF" w:rsidR="004D0F97" w:rsidRPr="00327867" w:rsidRDefault="00002D44"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29%</w:t>
            </w:r>
          </w:p>
        </w:tc>
        <w:tc>
          <w:tcPr>
            <w:tcW w:w="1170" w:type="dxa"/>
            <w:tcBorders>
              <w:top w:val="nil"/>
              <w:left w:val="nil"/>
              <w:bottom w:val="nil"/>
              <w:right w:val="nil"/>
            </w:tcBorders>
            <w:shd w:val="clear" w:color="auto" w:fill="44546A" w:themeFill="text2"/>
            <w:vAlign w:val="bottom"/>
          </w:tcPr>
          <w:p w14:paraId="75703F75" w14:textId="77777777" w:rsidR="004D0F97" w:rsidRPr="00327867" w:rsidRDefault="004D0F97" w:rsidP="005E5440">
            <w:pPr>
              <w:widowControl w:val="0"/>
              <w:jc w:val="center"/>
              <w:rPr>
                <w:rFonts w:cstheme="minorHAnsi"/>
                <w:bCs/>
                <w:color w:val="000000" w:themeColor="text1"/>
                <w:sz w:val="21"/>
                <w:szCs w:val="21"/>
              </w:rPr>
            </w:pPr>
          </w:p>
        </w:tc>
        <w:tc>
          <w:tcPr>
            <w:tcW w:w="1440" w:type="dxa"/>
            <w:tcBorders>
              <w:left w:val="nil"/>
              <w:right w:val="nil"/>
            </w:tcBorders>
            <w:shd w:val="clear" w:color="auto" w:fill="FFFFFF" w:themeFill="background1"/>
            <w:vAlign w:val="bottom"/>
          </w:tcPr>
          <w:p w14:paraId="6E3F57C6" w14:textId="7ED1C4B0" w:rsidR="004D0F97" w:rsidRPr="00327867" w:rsidRDefault="00F35FA4"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15%</w:t>
            </w:r>
          </w:p>
        </w:tc>
        <w:tc>
          <w:tcPr>
            <w:tcW w:w="1170" w:type="dxa"/>
            <w:tcBorders>
              <w:top w:val="nil"/>
              <w:left w:val="nil"/>
              <w:bottom w:val="nil"/>
              <w:right w:val="nil"/>
            </w:tcBorders>
            <w:shd w:val="clear" w:color="auto" w:fill="44546A" w:themeFill="text2"/>
            <w:vAlign w:val="bottom"/>
          </w:tcPr>
          <w:p w14:paraId="0F1732E8" w14:textId="77777777" w:rsidR="004D0F97" w:rsidRPr="00327867" w:rsidRDefault="004D0F97" w:rsidP="005E5440">
            <w:pPr>
              <w:widowControl w:val="0"/>
              <w:jc w:val="center"/>
              <w:rPr>
                <w:rFonts w:cstheme="minorHAnsi"/>
                <w:bCs/>
                <w:color w:val="000000" w:themeColor="text1"/>
                <w:sz w:val="21"/>
                <w:szCs w:val="21"/>
              </w:rPr>
            </w:pPr>
          </w:p>
        </w:tc>
        <w:tc>
          <w:tcPr>
            <w:tcW w:w="900" w:type="dxa"/>
            <w:tcBorders>
              <w:left w:val="nil"/>
            </w:tcBorders>
            <w:shd w:val="clear" w:color="auto" w:fill="FFFFFF" w:themeFill="background1"/>
            <w:vAlign w:val="bottom"/>
          </w:tcPr>
          <w:p w14:paraId="08089805" w14:textId="6FAAC12B" w:rsidR="004D0F97" w:rsidRPr="00327867" w:rsidRDefault="00116D84"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39%</w:t>
            </w:r>
          </w:p>
        </w:tc>
        <w:tc>
          <w:tcPr>
            <w:tcW w:w="1530" w:type="dxa"/>
            <w:shd w:val="clear" w:color="auto" w:fill="FFFFFF" w:themeFill="background1"/>
            <w:vAlign w:val="bottom"/>
          </w:tcPr>
          <w:p w14:paraId="4CBCB1F6" w14:textId="4197C85A" w:rsidR="004D0F97" w:rsidRPr="00327867" w:rsidRDefault="00002D44"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48%</w:t>
            </w:r>
          </w:p>
        </w:tc>
      </w:tr>
      <w:tr w:rsidR="004D0F97" w:rsidRPr="00327867" w14:paraId="65D70A96" w14:textId="77777777" w:rsidTr="000C5C4E">
        <w:trPr>
          <w:trHeight w:val="200"/>
        </w:trPr>
        <w:tc>
          <w:tcPr>
            <w:tcW w:w="1345" w:type="dxa"/>
            <w:tcBorders>
              <w:right w:val="nil"/>
            </w:tcBorders>
            <w:shd w:val="clear" w:color="auto" w:fill="FFFFFF" w:themeFill="background1"/>
            <w:vAlign w:val="bottom"/>
          </w:tcPr>
          <w:p w14:paraId="61C6833D" w14:textId="07E3363B" w:rsidR="004D0F97" w:rsidRPr="00327867" w:rsidRDefault="002E423D"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17.09</w:t>
            </w:r>
          </w:p>
        </w:tc>
        <w:tc>
          <w:tcPr>
            <w:tcW w:w="1085" w:type="dxa"/>
            <w:tcBorders>
              <w:top w:val="nil"/>
              <w:left w:val="nil"/>
              <w:bottom w:val="nil"/>
              <w:right w:val="nil"/>
            </w:tcBorders>
            <w:shd w:val="clear" w:color="auto" w:fill="44546A" w:themeFill="text2"/>
            <w:vAlign w:val="bottom"/>
          </w:tcPr>
          <w:p w14:paraId="17A59B85" w14:textId="77777777" w:rsidR="004D0F97" w:rsidRPr="00327867" w:rsidRDefault="004D0F97" w:rsidP="005E5440">
            <w:pPr>
              <w:widowControl w:val="0"/>
              <w:jc w:val="center"/>
              <w:rPr>
                <w:rFonts w:cstheme="minorHAnsi"/>
                <w:bCs/>
                <w:color w:val="000000" w:themeColor="text1"/>
                <w:sz w:val="21"/>
                <w:szCs w:val="21"/>
              </w:rPr>
            </w:pPr>
          </w:p>
        </w:tc>
        <w:tc>
          <w:tcPr>
            <w:tcW w:w="990" w:type="dxa"/>
            <w:tcBorders>
              <w:left w:val="nil"/>
              <w:right w:val="nil"/>
            </w:tcBorders>
            <w:shd w:val="clear" w:color="auto" w:fill="FFFFFF" w:themeFill="background1"/>
            <w:vAlign w:val="bottom"/>
          </w:tcPr>
          <w:p w14:paraId="474C076C" w14:textId="7213637B" w:rsidR="004D0F97" w:rsidRPr="00327867" w:rsidRDefault="00AE788A"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33%</w:t>
            </w:r>
          </w:p>
        </w:tc>
        <w:tc>
          <w:tcPr>
            <w:tcW w:w="1170" w:type="dxa"/>
            <w:tcBorders>
              <w:top w:val="nil"/>
              <w:left w:val="nil"/>
              <w:bottom w:val="nil"/>
              <w:right w:val="nil"/>
            </w:tcBorders>
            <w:shd w:val="clear" w:color="auto" w:fill="44546A" w:themeFill="text2"/>
            <w:vAlign w:val="bottom"/>
          </w:tcPr>
          <w:p w14:paraId="4AC5865C" w14:textId="77777777" w:rsidR="004D0F97" w:rsidRPr="00327867" w:rsidRDefault="004D0F97" w:rsidP="005E5440">
            <w:pPr>
              <w:widowControl w:val="0"/>
              <w:jc w:val="center"/>
              <w:rPr>
                <w:rFonts w:cstheme="minorHAnsi"/>
                <w:bCs/>
                <w:color w:val="000000" w:themeColor="text1"/>
                <w:sz w:val="21"/>
                <w:szCs w:val="21"/>
              </w:rPr>
            </w:pPr>
          </w:p>
        </w:tc>
        <w:tc>
          <w:tcPr>
            <w:tcW w:w="1440" w:type="dxa"/>
            <w:tcBorders>
              <w:left w:val="nil"/>
              <w:right w:val="nil"/>
            </w:tcBorders>
            <w:shd w:val="clear" w:color="auto" w:fill="FFFFFF" w:themeFill="background1"/>
            <w:vAlign w:val="bottom"/>
          </w:tcPr>
          <w:p w14:paraId="16C0663E" w14:textId="5D186EB5" w:rsidR="004D0F97" w:rsidRPr="00327867" w:rsidRDefault="00BA5687"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25%</w:t>
            </w:r>
          </w:p>
        </w:tc>
        <w:tc>
          <w:tcPr>
            <w:tcW w:w="1170" w:type="dxa"/>
            <w:tcBorders>
              <w:top w:val="nil"/>
              <w:left w:val="nil"/>
              <w:bottom w:val="nil"/>
              <w:right w:val="nil"/>
            </w:tcBorders>
            <w:shd w:val="clear" w:color="auto" w:fill="44546A" w:themeFill="text2"/>
            <w:vAlign w:val="bottom"/>
          </w:tcPr>
          <w:p w14:paraId="6E1F24CC" w14:textId="77777777" w:rsidR="004D0F97" w:rsidRPr="00327867" w:rsidRDefault="004D0F97" w:rsidP="005E5440">
            <w:pPr>
              <w:widowControl w:val="0"/>
              <w:jc w:val="center"/>
              <w:rPr>
                <w:rFonts w:cstheme="minorHAnsi"/>
                <w:bCs/>
                <w:color w:val="000000" w:themeColor="text1"/>
                <w:sz w:val="21"/>
                <w:szCs w:val="21"/>
              </w:rPr>
            </w:pPr>
          </w:p>
        </w:tc>
        <w:tc>
          <w:tcPr>
            <w:tcW w:w="900" w:type="dxa"/>
            <w:tcBorders>
              <w:left w:val="nil"/>
            </w:tcBorders>
            <w:shd w:val="clear" w:color="auto" w:fill="FFFFFF" w:themeFill="background1"/>
            <w:vAlign w:val="bottom"/>
          </w:tcPr>
          <w:p w14:paraId="3BD3A2DE" w14:textId="2039F6AE" w:rsidR="004D0F97" w:rsidRPr="00327867" w:rsidRDefault="00BD4A51"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41%</w:t>
            </w:r>
          </w:p>
        </w:tc>
        <w:tc>
          <w:tcPr>
            <w:tcW w:w="1530" w:type="dxa"/>
            <w:shd w:val="clear" w:color="auto" w:fill="FFFFFF" w:themeFill="background1"/>
            <w:vAlign w:val="bottom"/>
          </w:tcPr>
          <w:p w14:paraId="411BE2C2" w14:textId="7FAA23AA" w:rsidR="004D0F97" w:rsidRPr="00327867" w:rsidRDefault="00AE788A"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50%</w:t>
            </w:r>
          </w:p>
        </w:tc>
      </w:tr>
      <w:tr w:rsidR="002E423D" w:rsidRPr="00327867" w14:paraId="364E6B53" w14:textId="77777777" w:rsidTr="000C5C4E">
        <w:trPr>
          <w:trHeight w:val="200"/>
        </w:trPr>
        <w:tc>
          <w:tcPr>
            <w:tcW w:w="1345" w:type="dxa"/>
            <w:tcBorders>
              <w:right w:val="nil"/>
            </w:tcBorders>
            <w:shd w:val="clear" w:color="auto" w:fill="FFFFFF" w:themeFill="background1"/>
            <w:vAlign w:val="bottom"/>
          </w:tcPr>
          <w:p w14:paraId="5657A175" w14:textId="1AFC16AB" w:rsidR="002E423D" w:rsidRPr="00327867" w:rsidRDefault="002E423D"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18.02</w:t>
            </w:r>
          </w:p>
        </w:tc>
        <w:tc>
          <w:tcPr>
            <w:tcW w:w="1085" w:type="dxa"/>
            <w:tcBorders>
              <w:top w:val="nil"/>
              <w:left w:val="nil"/>
              <w:bottom w:val="nil"/>
              <w:right w:val="nil"/>
            </w:tcBorders>
            <w:shd w:val="clear" w:color="auto" w:fill="44546A" w:themeFill="text2"/>
            <w:vAlign w:val="bottom"/>
          </w:tcPr>
          <w:p w14:paraId="7AD9F12C" w14:textId="77777777" w:rsidR="002E423D" w:rsidRPr="00327867" w:rsidRDefault="002E423D" w:rsidP="005E5440">
            <w:pPr>
              <w:widowControl w:val="0"/>
              <w:jc w:val="center"/>
              <w:rPr>
                <w:rFonts w:cstheme="minorHAnsi"/>
                <w:bCs/>
                <w:color w:val="000000" w:themeColor="text1"/>
                <w:sz w:val="21"/>
                <w:szCs w:val="21"/>
              </w:rPr>
            </w:pPr>
          </w:p>
        </w:tc>
        <w:tc>
          <w:tcPr>
            <w:tcW w:w="990" w:type="dxa"/>
            <w:tcBorders>
              <w:left w:val="nil"/>
              <w:right w:val="nil"/>
            </w:tcBorders>
            <w:shd w:val="clear" w:color="auto" w:fill="FFFFFF" w:themeFill="background1"/>
            <w:vAlign w:val="bottom"/>
          </w:tcPr>
          <w:p w14:paraId="160625DD" w14:textId="1E0B5E2D" w:rsidR="002E423D" w:rsidRPr="00327867" w:rsidRDefault="00340020"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25%</w:t>
            </w:r>
          </w:p>
        </w:tc>
        <w:tc>
          <w:tcPr>
            <w:tcW w:w="1170" w:type="dxa"/>
            <w:tcBorders>
              <w:top w:val="nil"/>
              <w:left w:val="nil"/>
              <w:bottom w:val="nil"/>
              <w:right w:val="nil"/>
            </w:tcBorders>
            <w:shd w:val="clear" w:color="auto" w:fill="44546A" w:themeFill="text2"/>
            <w:vAlign w:val="bottom"/>
          </w:tcPr>
          <w:p w14:paraId="04E752F3" w14:textId="77777777" w:rsidR="002E423D" w:rsidRPr="00327867" w:rsidRDefault="002E423D" w:rsidP="005E5440">
            <w:pPr>
              <w:widowControl w:val="0"/>
              <w:jc w:val="center"/>
              <w:rPr>
                <w:rFonts w:cstheme="minorHAnsi"/>
                <w:bCs/>
                <w:color w:val="000000" w:themeColor="text1"/>
                <w:sz w:val="21"/>
                <w:szCs w:val="21"/>
              </w:rPr>
            </w:pPr>
          </w:p>
        </w:tc>
        <w:tc>
          <w:tcPr>
            <w:tcW w:w="1440" w:type="dxa"/>
            <w:tcBorders>
              <w:left w:val="nil"/>
              <w:right w:val="nil"/>
            </w:tcBorders>
            <w:shd w:val="clear" w:color="auto" w:fill="FFFFFF" w:themeFill="background1"/>
            <w:vAlign w:val="bottom"/>
          </w:tcPr>
          <w:p w14:paraId="3965E894" w14:textId="6480455C" w:rsidR="002E423D" w:rsidRPr="00327867" w:rsidRDefault="00837F2F"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26%</w:t>
            </w:r>
          </w:p>
        </w:tc>
        <w:tc>
          <w:tcPr>
            <w:tcW w:w="1170" w:type="dxa"/>
            <w:tcBorders>
              <w:top w:val="nil"/>
              <w:left w:val="nil"/>
              <w:bottom w:val="nil"/>
              <w:right w:val="nil"/>
            </w:tcBorders>
            <w:shd w:val="clear" w:color="auto" w:fill="44546A" w:themeFill="text2"/>
            <w:vAlign w:val="bottom"/>
          </w:tcPr>
          <w:p w14:paraId="1598475E" w14:textId="77777777" w:rsidR="002E423D" w:rsidRPr="00327867" w:rsidRDefault="002E423D" w:rsidP="005E5440">
            <w:pPr>
              <w:widowControl w:val="0"/>
              <w:jc w:val="center"/>
              <w:rPr>
                <w:rFonts w:cstheme="minorHAnsi"/>
                <w:bCs/>
                <w:color w:val="000000" w:themeColor="text1"/>
                <w:sz w:val="21"/>
                <w:szCs w:val="21"/>
              </w:rPr>
            </w:pPr>
          </w:p>
        </w:tc>
        <w:tc>
          <w:tcPr>
            <w:tcW w:w="900" w:type="dxa"/>
            <w:tcBorders>
              <w:left w:val="nil"/>
            </w:tcBorders>
            <w:shd w:val="clear" w:color="auto" w:fill="FFFFFF" w:themeFill="background1"/>
            <w:vAlign w:val="bottom"/>
          </w:tcPr>
          <w:p w14:paraId="0DF68D36" w14:textId="5C071122" w:rsidR="002E423D" w:rsidRPr="00327867" w:rsidRDefault="00837F2F"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45%</w:t>
            </w:r>
          </w:p>
        </w:tc>
        <w:tc>
          <w:tcPr>
            <w:tcW w:w="1530" w:type="dxa"/>
            <w:shd w:val="clear" w:color="auto" w:fill="FFFFFF" w:themeFill="background1"/>
            <w:vAlign w:val="bottom"/>
          </w:tcPr>
          <w:p w14:paraId="4693FC9A" w14:textId="59D65E8E" w:rsidR="002E423D" w:rsidRPr="00327867" w:rsidRDefault="00340020"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47%</w:t>
            </w:r>
          </w:p>
        </w:tc>
      </w:tr>
      <w:tr w:rsidR="002E423D" w:rsidRPr="00327867" w14:paraId="207AF717" w14:textId="77777777" w:rsidTr="000C5C4E">
        <w:trPr>
          <w:trHeight w:val="200"/>
        </w:trPr>
        <w:tc>
          <w:tcPr>
            <w:tcW w:w="1345" w:type="dxa"/>
            <w:tcBorders>
              <w:right w:val="nil"/>
            </w:tcBorders>
            <w:shd w:val="clear" w:color="auto" w:fill="FFFFFF" w:themeFill="background1"/>
            <w:vAlign w:val="bottom"/>
          </w:tcPr>
          <w:p w14:paraId="58D329D5" w14:textId="3DB9436C" w:rsidR="002E423D" w:rsidRPr="00327867" w:rsidRDefault="002E423D"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22</w:t>
            </w:r>
          </w:p>
        </w:tc>
        <w:tc>
          <w:tcPr>
            <w:tcW w:w="1085" w:type="dxa"/>
            <w:tcBorders>
              <w:top w:val="nil"/>
              <w:left w:val="nil"/>
              <w:bottom w:val="nil"/>
              <w:right w:val="nil"/>
            </w:tcBorders>
            <w:shd w:val="clear" w:color="auto" w:fill="44546A" w:themeFill="text2"/>
            <w:vAlign w:val="bottom"/>
          </w:tcPr>
          <w:p w14:paraId="37F8C857" w14:textId="77777777" w:rsidR="002E423D" w:rsidRPr="00327867" w:rsidRDefault="002E423D" w:rsidP="005E5440">
            <w:pPr>
              <w:widowControl w:val="0"/>
              <w:jc w:val="center"/>
              <w:rPr>
                <w:rFonts w:cstheme="minorHAnsi"/>
                <w:bCs/>
                <w:color w:val="000000" w:themeColor="text1"/>
                <w:sz w:val="21"/>
                <w:szCs w:val="21"/>
              </w:rPr>
            </w:pPr>
          </w:p>
        </w:tc>
        <w:tc>
          <w:tcPr>
            <w:tcW w:w="990" w:type="dxa"/>
            <w:tcBorders>
              <w:left w:val="nil"/>
              <w:right w:val="nil"/>
            </w:tcBorders>
            <w:shd w:val="clear" w:color="auto" w:fill="FFFFFF" w:themeFill="background1"/>
            <w:vAlign w:val="bottom"/>
          </w:tcPr>
          <w:p w14:paraId="5E2A8406" w14:textId="5553BA95" w:rsidR="002E423D" w:rsidRPr="00327867" w:rsidRDefault="00327867"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20%</w:t>
            </w:r>
          </w:p>
        </w:tc>
        <w:tc>
          <w:tcPr>
            <w:tcW w:w="1170" w:type="dxa"/>
            <w:tcBorders>
              <w:top w:val="nil"/>
              <w:left w:val="nil"/>
              <w:bottom w:val="nil"/>
              <w:right w:val="nil"/>
            </w:tcBorders>
            <w:shd w:val="clear" w:color="auto" w:fill="44546A" w:themeFill="text2"/>
            <w:vAlign w:val="bottom"/>
          </w:tcPr>
          <w:p w14:paraId="2017D2E4" w14:textId="688DE85C" w:rsidR="002E423D" w:rsidRPr="00327867" w:rsidRDefault="00327867"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3</w:t>
            </w:r>
          </w:p>
        </w:tc>
        <w:tc>
          <w:tcPr>
            <w:tcW w:w="1440" w:type="dxa"/>
            <w:tcBorders>
              <w:left w:val="nil"/>
              <w:right w:val="nil"/>
            </w:tcBorders>
            <w:shd w:val="clear" w:color="auto" w:fill="FFFFFF" w:themeFill="background1"/>
            <w:vAlign w:val="bottom"/>
          </w:tcPr>
          <w:p w14:paraId="4D024035" w14:textId="3BD83DE5" w:rsidR="002E423D" w:rsidRPr="00327867" w:rsidRDefault="00721740"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9%</w:t>
            </w:r>
          </w:p>
        </w:tc>
        <w:tc>
          <w:tcPr>
            <w:tcW w:w="1170" w:type="dxa"/>
            <w:tcBorders>
              <w:top w:val="nil"/>
              <w:left w:val="nil"/>
              <w:bottom w:val="nil"/>
              <w:right w:val="nil"/>
            </w:tcBorders>
            <w:shd w:val="clear" w:color="auto" w:fill="44546A" w:themeFill="text2"/>
            <w:vAlign w:val="bottom"/>
          </w:tcPr>
          <w:p w14:paraId="6A6600C0" w14:textId="77777777" w:rsidR="002E423D" w:rsidRPr="00327867" w:rsidRDefault="002E423D" w:rsidP="005E5440">
            <w:pPr>
              <w:widowControl w:val="0"/>
              <w:jc w:val="center"/>
              <w:rPr>
                <w:rFonts w:cstheme="minorHAnsi"/>
                <w:bCs/>
                <w:color w:val="000000" w:themeColor="text1"/>
                <w:sz w:val="21"/>
                <w:szCs w:val="21"/>
              </w:rPr>
            </w:pPr>
          </w:p>
        </w:tc>
        <w:tc>
          <w:tcPr>
            <w:tcW w:w="900" w:type="dxa"/>
            <w:tcBorders>
              <w:left w:val="nil"/>
            </w:tcBorders>
            <w:shd w:val="clear" w:color="auto" w:fill="FFFFFF" w:themeFill="background1"/>
            <w:vAlign w:val="bottom"/>
          </w:tcPr>
          <w:p w14:paraId="6637BB3C" w14:textId="6A1BF697" w:rsidR="002E423D" w:rsidRPr="00327867" w:rsidRDefault="00721740"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17%</w:t>
            </w:r>
          </w:p>
        </w:tc>
        <w:tc>
          <w:tcPr>
            <w:tcW w:w="1530" w:type="dxa"/>
            <w:shd w:val="clear" w:color="auto" w:fill="FFFFFF" w:themeFill="background1"/>
            <w:vAlign w:val="bottom"/>
          </w:tcPr>
          <w:p w14:paraId="0316E5CF" w14:textId="2902390F" w:rsidR="002E423D" w:rsidRPr="00327867" w:rsidRDefault="00327867" w:rsidP="005E5440">
            <w:pPr>
              <w:widowControl w:val="0"/>
              <w:jc w:val="center"/>
              <w:rPr>
                <w:rFonts w:cstheme="minorHAnsi"/>
                <w:bCs/>
                <w:color w:val="000000" w:themeColor="text1"/>
                <w:sz w:val="21"/>
                <w:szCs w:val="21"/>
              </w:rPr>
            </w:pPr>
            <w:r w:rsidRPr="00327867">
              <w:rPr>
                <w:rFonts w:cstheme="minorHAnsi"/>
                <w:bCs/>
                <w:color w:val="000000" w:themeColor="text1"/>
                <w:sz w:val="21"/>
                <w:szCs w:val="21"/>
              </w:rPr>
              <w:t>32%</w:t>
            </w:r>
          </w:p>
        </w:tc>
      </w:tr>
    </w:tbl>
    <w:p w14:paraId="069A7841" w14:textId="0E6634A1" w:rsidR="000A0BCA" w:rsidRDefault="000A0BCA" w:rsidP="00C80263">
      <w:pPr>
        <w:rPr>
          <w:color w:val="000000" w:themeColor="text1"/>
        </w:rPr>
      </w:pPr>
    </w:p>
    <w:p w14:paraId="4F9845CB" w14:textId="73C67BEA" w:rsidR="0022738F" w:rsidRPr="001B3790" w:rsidRDefault="0022738F" w:rsidP="00073DB7">
      <w:pPr>
        <w:pStyle w:val="Heading2"/>
        <w:rPr>
          <w:rStyle w:val="IntenseEmphasis"/>
          <w:rFonts w:asciiTheme="minorHAnsi" w:hAnsiTheme="minorHAnsi" w:cstheme="minorHAnsi"/>
          <w:sz w:val="22"/>
          <w:szCs w:val="22"/>
        </w:rPr>
      </w:pPr>
      <w:r w:rsidRPr="001B3790">
        <w:rPr>
          <w:rStyle w:val="IntenseEmphasis"/>
          <w:rFonts w:asciiTheme="minorHAnsi" w:hAnsiTheme="minorHAnsi" w:cstheme="minorHAnsi"/>
          <w:sz w:val="22"/>
          <w:szCs w:val="22"/>
        </w:rPr>
        <w:t>Key finding 2:  Why are youth in Durham joining gangs?</w:t>
      </w:r>
      <w:r w:rsidR="001B3790" w:rsidRPr="001B3790">
        <w:rPr>
          <w:rStyle w:val="IntenseEmphasis"/>
          <w:rFonts w:asciiTheme="minorHAnsi" w:hAnsiTheme="minorHAnsi" w:cstheme="minorHAnsi"/>
          <w:sz w:val="22"/>
          <w:szCs w:val="22"/>
        </w:rPr>
        <w:t xml:space="preserve">  What must be addressed to keep youth out of gangs?</w:t>
      </w:r>
    </w:p>
    <w:p w14:paraId="76E793A8" w14:textId="241441FD" w:rsidR="0062450C" w:rsidRDefault="00A411D8" w:rsidP="0022738F">
      <w:pPr>
        <w:spacing w:after="0"/>
        <w:jc w:val="both"/>
        <w:rPr>
          <w:rStyle w:val="Emphasis"/>
        </w:rPr>
      </w:pPr>
      <w:r w:rsidRPr="00A411D8">
        <w:rPr>
          <w:rStyle w:val="Heading2Char"/>
        </w:rPr>
        <w:t>Key finding 2:</w:t>
      </w:r>
      <w:r>
        <w:rPr>
          <w:rStyle w:val="Emphasis"/>
        </w:rPr>
        <w:t xml:space="preserve">  </w:t>
      </w:r>
      <w:r w:rsidR="00145558">
        <w:rPr>
          <w:rStyle w:val="Emphasis"/>
        </w:rPr>
        <w:t>Young people in</w:t>
      </w:r>
      <w:r w:rsidR="00394FAF">
        <w:rPr>
          <w:rStyle w:val="Emphasis"/>
        </w:rPr>
        <w:t xml:space="preserve"> Durham experience a high level of exposure to </w:t>
      </w:r>
      <w:r w:rsidR="00AA7CAA">
        <w:rPr>
          <w:rStyle w:val="Emphasis"/>
        </w:rPr>
        <w:t xml:space="preserve">risk factors for gang involvement, including substance use, delinquency, </w:t>
      </w:r>
      <w:r w:rsidR="003910F6">
        <w:rPr>
          <w:rStyle w:val="Emphasis"/>
        </w:rPr>
        <w:t xml:space="preserve">the </w:t>
      </w:r>
      <w:r w:rsidR="00AA7CAA">
        <w:rPr>
          <w:rStyle w:val="Emphasis"/>
        </w:rPr>
        <w:t xml:space="preserve">presence of gangs in their neighborhood and at school, family gang involvement, </w:t>
      </w:r>
      <w:r w:rsidR="0048166B">
        <w:rPr>
          <w:rStyle w:val="Emphasis"/>
        </w:rPr>
        <w:t>victimization, and exposure to violence.  This level of risk exposure is higher for youth who enter the juvenile justice system</w:t>
      </w:r>
      <w:r w:rsidR="00405017">
        <w:rPr>
          <w:rStyle w:val="Emphasis"/>
        </w:rPr>
        <w:t xml:space="preserve"> and</w:t>
      </w:r>
      <w:r w:rsidR="0062450C">
        <w:rPr>
          <w:rStyle w:val="Emphasis"/>
        </w:rPr>
        <w:t xml:space="preserve"> </w:t>
      </w:r>
      <w:r w:rsidR="002C5FA9">
        <w:rPr>
          <w:rStyle w:val="Emphasis"/>
        </w:rPr>
        <w:t xml:space="preserve">highest for </w:t>
      </w:r>
      <w:r w:rsidR="0062450C">
        <w:rPr>
          <w:rStyle w:val="Emphasis"/>
        </w:rPr>
        <w:t>gang involved individuals</w:t>
      </w:r>
      <w:r w:rsidR="002C5FA9">
        <w:rPr>
          <w:rStyle w:val="Emphasis"/>
        </w:rPr>
        <w:t>.</w:t>
      </w:r>
    </w:p>
    <w:p w14:paraId="31F8FCB7" w14:textId="77777777" w:rsidR="00E97E67" w:rsidRPr="00073DB7" w:rsidRDefault="00E97E67" w:rsidP="0022738F">
      <w:pPr>
        <w:spacing w:after="0"/>
        <w:jc w:val="both"/>
        <w:rPr>
          <w:rStyle w:val="Emphasis"/>
          <w:b/>
          <w:bCs/>
          <w:i w:val="0"/>
          <w:iCs w:val="0"/>
        </w:rPr>
      </w:pPr>
    </w:p>
    <w:p w14:paraId="2A80668F" w14:textId="0BEF76F3" w:rsidR="0022738F" w:rsidRPr="00073DB7" w:rsidRDefault="009168C0" w:rsidP="0022738F">
      <w:pPr>
        <w:jc w:val="both"/>
        <w:rPr>
          <w:rStyle w:val="IntenseEmphasis"/>
        </w:rPr>
      </w:pPr>
      <w:r w:rsidRPr="00073DB7">
        <w:rPr>
          <w:rStyle w:val="IntenseEmphasis"/>
        </w:rPr>
        <w:t xml:space="preserve">Key finding 3:  What is keeping </w:t>
      </w:r>
      <w:r w:rsidR="00073DB7" w:rsidRPr="00073DB7">
        <w:rPr>
          <w:rStyle w:val="IntenseEmphasis"/>
        </w:rPr>
        <w:t xml:space="preserve">young people in gangs?  </w:t>
      </w:r>
      <w:r w:rsidR="00911B8C">
        <w:rPr>
          <w:rStyle w:val="IntenseEmphasis"/>
        </w:rPr>
        <w:t>What must be addressed in order to help them?</w:t>
      </w:r>
    </w:p>
    <w:p w14:paraId="728600AD" w14:textId="3DAC251D" w:rsidR="00EB23F3" w:rsidRDefault="002C13FB" w:rsidP="001B3790">
      <w:pPr>
        <w:jc w:val="both"/>
        <w:rPr>
          <w:rStyle w:val="Emphasis"/>
        </w:rPr>
      </w:pPr>
      <w:r w:rsidRPr="00F506D2">
        <w:rPr>
          <w:rStyle w:val="Heading2Char"/>
        </w:rPr>
        <w:t xml:space="preserve">Key finding </w:t>
      </w:r>
      <w:r>
        <w:rPr>
          <w:rStyle w:val="Heading2Char"/>
        </w:rPr>
        <w:t>3</w:t>
      </w:r>
      <w:r w:rsidRPr="00F506D2">
        <w:rPr>
          <w:rStyle w:val="Heading2Char"/>
        </w:rPr>
        <w:t>:</w:t>
      </w:r>
      <w:r>
        <w:t xml:space="preserve"> </w:t>
      </w:r>
      <w:r w:rsidR="008925F1">
        <w:t xml:space="preserve"> </w:t>
      </w:r>
      <w:r w:rsidR="0062450C">
        <w:t xml:space="preserve">Research indicates that </w:t>
      </w:r>
      <w:r w:rsidR="0062450C">
        <w:rPr>
          <w:rStyle w:val="Emphasis"/>
        </w:rPr>
        <w:t xml:space="preserve">young people who join gangs </w:t>
      </w:r>
      <w:r w:rsidR="00E66B1D">
        <w:rPr>
          <w:rStyle w:val="Emphasis"/>
        </w:rPr>
        <w:t>become</w:t>
      </w:r>
      <w:r w:rsidR="0062450C">
        <w:rPr>
          <w:rStyle w:val="Emphasis"/>
        </w:rPr>
        <w:t xml:space="preserve"> disconnected from mainstream pursuits. Gang involved individuals in Durham </w:t>
      </w:r>
      <w:r w:rsidR="00D70D45">
        <w:rPr>
          <w:rStyle w:val="Emphasis"/>
        </w:rPr>
        <w:t xml:space="preserve">have difficulty exiting gangs because of high rates of school dropout, unemployment/underemployment, </w:t>
      </w:r>
      <w:r w:rsidR="003620F6">
        <w:rPr>
          <w:rStyle w:val="Emphasis"/>
        </w:rPr>
        <w:t xml:space="preserve">substance use, </w:t>
      </w:r>
      <w:r w:rsidR="00E97E67">
        <w:rPr>
          <w:rStyle w:val="Emphasis"/>
        </w:rPr>
        <w:t xml:space="preserve">gang activity in the neighborhood, and </w:t>
      </w:r>
      <w:r w:rsidR="0038469E">
        <w:rPr>
          <w:rStyle w:val="Emphasis"/>
        </w:rPr>
        <w:t xml:space="preserve"> </w:t>
      </w:r>
      <w:r w:rsidR="00E97E67">
        <w:rPr>
          <w:rStyle w:val="Emphasis"/>
        </w:rPr>
        <w:t>a need to</w:t>
      </w:r>
      <w:r w:rsidR="0038469E">
        <w:rPr>
          <w:rStyle w:val="Emphasis"/>
        </w:rPr>
        <w:t xml:space="preserve"> replace the social and emotional needs currently met by their gang.  </w:t>
      </w:r>
    </w:p>
    <w:p w14:paraId="4C2A3FF3" w14:textId="77777777" w:rsidR="001B3790" w:rsidRPr="00A91E50" w:rsidRDefault="001B3790" w:rsidP="0022738F">
      <w:pPr>
        <w:spacing w:after="0"/>
        <w:jc w:val="both"/>
        <w:rPr>
          <w:rStyle w:val="IntenseEmphasis"/>
        </w:rPr>
      </w:pPr>
      <w:r w:rsidRPr="00A91E50">
        <w:rPr>
          <w:rStyle w:val="IntenseEmphasis"/>
        </w:rPr>
        <w:lastRenderedPageBreak/>
        <w:t>Key finding 4:  How is this issue affecting the wider community?  What should motivate policymakers to address the problem</w:t>
      </w:r>
    </w:p>
    <w:p w14:paraId="244EE8BB" w14:textId="0EED9999" w:rsidR="004A1E3C" w:rsidRDefault="00E00037" w:rsidP="0022738F">
      <w:pPr>
        <w:spacing w:after="0"/>
        <w:jc w:val="both"/>
        <w:rPr>
          <w:rStyle w:val="Emphasis"/>
        </w:rPr>
      </w:pPr>
      <w:r w:rsidRPr="00F506D2">
        <w:rPr>
          <w:rStyle w:val="Heading2Char"/>
        </w:rPr>
        <w:t xml:space="preserve">Key finding </w:t>
      </w:r>
      <w:r w:rsidR="00E97E67">
        <w:rPr>
          <w:rStyle w:val="Heading2Char"/>
        </w:rPr>
        <w:t>4</w:t>
      </w:r>
      <w:r w:rsidRPr="00F506D2">
        <w:rPr>
          <w:rStyle w:val="Heading2Char"/>
        </w:rPr>
        <w:t>:</w:t>
      </w:r>
      <w:r>
        <w:t xml:space="preserve">  </w:t>
      </w:r>
      <w:r w:rsidRPr="001F46F0">
        <w:rPr>
          <w:rStyle w:val="Emphasis"/>
        </w:rPr>
        <w:t xml:space="preserve">Residents of Durham experience the gang issue very differently depending </w:t>
      </w:r>
      <w:r w:rsidR="004A1E3C" w:rsidRPr="001F46F0">
        <w:rPr>
          <w:rStyle w:val="Emphasis"/>
        </w:rPr>
        <w:t>on their neighborhood</w:t>
      </w:r>
      <w:r w:rsidRPr="001F46F0">
        <w:rPr>
          <w:rStyle w:val="Emphasis"/>
        </w:rPr>
        <w:t xml:space="preserve">.  In some neighborhoods, gangs </w:t>
      </w:r>
      <w:r w:rsidR="00F506D2" w:rsidRPr="001F46F0">
        <w:rPr>
          <w:rStyle w:val="Emphasis"/>
        </w:rPr>
        <w:t>are</w:t>
      </w:r>
      <w:r w:rsidRPr="001F46F0">
        <w:rPr>
          <w:rStyle w:val="Emphasis"/>
        </w:rPr>
        <w:t xml:space="preserve"> deeply imbedded in the neighborhood’s culture which plays a key role in the decision to join a gang in Durham</w:t>
      </w:r>
      <w:r w:rsidR="00F506D2" w:rsidRPr="001F46F0">
        <w:rPr>
          <w:rStyle w:val="Emphasis"/>
        </w:rPr>
        <w:t>.</w:t>
      </w:r>
      <w:r w:rsidR="002665CB">
        <w:rPr>
          <w:rStyle w:val="Emphasis"/>
        </w:rPr>
        <w:t xml:space="preserve"> Other neighborhoods experience gang issues </w:t>
      </w:r>
      <w:r w:rsidR="006B7B72">
        <w:rPr>
          <w:rStyle w:val="Emphasis"/>
        </w:rPr>
        <w:t>indirectly</w:t>
      </w:r>
      <w:r w:rsidR="002665CB">
        <w:rPr>
          <w:rStyle w:val="Emphasis"/>
        </w:rPr>
        <w:t>, but</w:t>
      </w:r>
      <w:r w:rsidR="00233550">
        <w:rPr>
          <w:rStyle w:val="Emphasis"/>
        </w:rPr>
        <w:t xml:space="preserve"> the</w:t>
      </w:r>
      <w:r w:rsidR="002665CB">
        <w:rPr>
          <w:rStyle w:val="Emphasis"/>
        </w:rPr>
        <w:t xml:space="preserve"> </w:t>
      </w:r>
      <w:r w:rsidR="00B40487">
        <w:rPr>
          <w:rStyle w:val="Emphasis"/>
        </w:rPr>
        <w:t>widespread nature of</w:t>
      </w:r>
      <w:r w:rsidR="002665CB">
        <w:rPr>
          <w:rStyle w:val="Emphasis"/>
        </w:rPr>
        <w:t xml:space="preserve"> gang activity and community violence </w:t>
      </w:r>
      <w:r w:rsidR="00B40487">
        <w:rPr>
          <w:rStyle w:val="Emphasis"/>
        </w:rPr>
        <w:t>in Durham reduces</w:t>
      </w:r>
      <w:r w:rsidR="002665CB">
        <w:rPr>
          <w:rStyle w:val="Emphasis"/>
        </w:rPr>
        <w:t xml:space="preserve"> quality of life for </w:t>
      </w:r>
      <w:r w:rsidR="008F0130">
        <w:rPr>
          <w:rStyle w:val="Emphasis"/>
        </w:rPr>
        <w:t>many residents.</w:t>
      </w:r>
    </w:p>
    <w:p w14:paraId="429461A8" w14:textId="517333AF" w:rsidR="00F506D2" w:rsidRDefault="00F506D2" w:rsidP="0022738F">
      <w:pPr>
        <w:spacing w:after="0"/>
        <w:jc w:val="both"/>
      </w:pPr>
    </w:p>
    <w:p w14:paraId="4961AB38" w14:textId="4993E93E" w:rsidR="001B3790" w:rsidRPr="00A91E50" w:rsidRDefault="00A91E50" w:rsidP="0022738F">
      <w:pPr>
        <w:spacing w:after="0"/>
        <w:jc w:val="both"/>
        <w:rPr>
          <w:rStyle w:val="IntenseEmphasis"/>
        </w:rPr>
      </w:pPr>
      <w:r>
        <w:rPr>
          <w:rStyle w:val="IntenseEmphasis"/>
        </w:rPr>
        <w:t xml:space="preserve">Key finding 5:  </w:t>
      </w:r>
      <w:r w:rsidRPr="00A91E50">
        <w:rPr>
          <w:rStyle w:val="IntenseEmphasis"/>
        </w:rPr>
        <w:t>How well is the current response to gangs working?</w:t>
      </w:r>
      <w:r w:rsidR="00911B8C">
        <w:rPr>
          <w:rStyle w:val="IntenseEmphasis"/>
        </w:rPr>
        <w:t xml:space="preserve">  What should be done differently in the future?</w:t>
      </w:r>
    </w:p>
    <w:p w14:paraId="4B92AF9E" w14:textId="69807748" w:rsidR="00F506D2" w:rsidRDefault="00F506D2" w:rsidP="0022738F">
      <w:pPr>
        <w:jc w:val="both"/>
      </w:pPr>
      <w:r w:rsidRPr="007027A2">
        <w:rPr>
          <w:rStyle w:val="Heading2Char"/>
        </w:rPr>
        <w:t xml:space="preserve">Key finding </w:t>
      </w:r>
      <w:r w:rsidR="0022738F">
        <w:rPr>
          <w:rStyle w:val="Heading2Char"/>
        </w:rPr>
        <w:t>5</w:t>
      </w:r>
      <w:r w:rsidRPr="007027A2">
        <w:rPr>
          <w:rStyle w:val="Heading2Char"/>
        </w:rPr>
        <w:t>:</w:t>
      </w:r>
      <w:r>
        <w:t xml:space="preserve">  </w:t>
      </w:r>
      <w:r w:rsidRPr="002665CB">
        <w:rPr>
          <w:i/>
          <w:iCs/>
        </w:rPr>
        <w:t xml:space="preserve">All constituency groups that participated in this study described low levels of satisfaction with the current response to gangs and identified specific deficits that have caused this dissatisfaction.  These issues include </w:t>
      </w:r>
      <w:r w:rsidR="007027A2" w:rsidRPr="002665CB">
        <w:rPr>
          <w:i/>
          <w:iCs/>
        </w:rPr>
        <w:t xml:space="preserve">a failure to address the underlying conditions that give rise to gangs, </w:t>
      </w:r>
      <w:r w:rsidR="00911B8C">
        <w:rPr>
          <w:i/>
          <w:iCs/>
        </w:rPr>
        <w:t xml:space="preserve">a </w:t>
      </w:r>
      <w:r w:rsidRPr="002665CB">
        <w:rPr>
          <w:i/>
          <w:iCs/>
        </w:rPr>
        <w:t>lack of awareness about the current response</w:t>
      </w:r>
      <w:r w:rsidR="00911B8C">
        <w:rPr>
          <w:i/>
          <w:iCs/>
        </w:rPr>
        <w:t>s</w:t>
      </w:r>
      <w:r w:rsidRPr="002665CB">
        <w:rPr>
          <w:i/>
          <w:iCs/>
        </w:rPr>
        <w:t xml:space="preserve"> to gangs</w:t>
      </w:r>
      <w:r w:rsidR="00911B8C">
        <w:rPr>
          <w:i/>
          <w:iCs/>
        </w:rPr>
        <w:t xml:space="preserve"> across constituency groups</w:t>
      </w:r>
      <w:r w:rsidRPr="002665CB">
        <w:rPr>
          <w:i/>
          <w:iCs/>
        </w:rPr>
        <w:t xml:space="preserve">, lack of information about the results of </w:t>
      </w:r>
      <w:r w:rsidR="00911B8C">
        <w:rPr>
          <w:i/>
          <w:iCs/>
        </w:rPr>
        <w:t>current strategies</w:t>
      </w:r>
      <w:r w:rsidRPr="002665CB">
        <w:rPr>
          <w:i/>
          <w:iCs/>
        </w:rPr>
        <w:t xml:space="preserve">, </w:t>
      </w:r>
      <w:r w:rsidR="00A91E50">
        <w:rPr>
          <w:i/>
          <w:iCs/>
        </w:rPr>
        <w:t>and concern</w:t>
      </w:r>
      <w:r w:rsidR="009C0C32">
        <w:rPr>
          <w:i/>
          <w:iCs/>
        </w:rPr>
        <w:t>s</w:t>
      </w:r>
      <w:r w:rsidR="00A91E50">
        <w:rPr>
          <w:i/>
          <w:iCs/>
        </w:rPr>
        <w:t xml:space="preserve"> about </w:t>
      </w:r>
      <w:r w:rsidR="007027A2" w:rsidRPr="002665CB">
        <w:rPr>
          <w:i/>
          <w:iCs/>
        </w:rPr>
        <w:t xml:space="preserve">criminal justice </w:t>
      </w:r>
      <w:r w:rsidR="00073DB7">
        <w:rPr>
          <w:i/>
          <w:iCs/>
        </w:rPr>
        <w:t xml:space="preserve">policies.  </w:t>
      </w:r>
      <w:bookmarkStart w:id="0" w:name="_GoBack"/>
      <w:bookmarkEnd w:id="0"/>
    </w:p>
    <w:sectPr w:rsidR="00F506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38E1" w14:textId="77777777" w:rsidR="001C6904" w:rsidRDefault="001C6904" w:rsidP="002E33B5">
      <w:pPr>
        <w:spacing w:after="0" w:line="240" w:lineRule="auto"/>
      </w:pPr>
      <w:r>
        <w:separator/>
      </w:r>
    </w:p>
  </w:endnote>
  <w:endnote w:type="continuationSeparator" w:id="0">
    <w:p w14:paraId="7E81EC0C" w14:textId="77777777" w:rsidR="001C6904" w:rsidRDefault="001C6904" w:rsidP="002E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DB8F" w14:textId="77777777" w:rsidR="002E33B5" w:rsidRDefault="002E33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C57A" w14:textId="77777777" w:rsidR="002E33B5" w:rsidRDefault="002E33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F4E6" w14:textId="77777777" w:rsidR="002E33B5" w:rsidRDefault="002E3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41FE" w14:textId="77777777" w:rsidR="001C6904" w:rsidRDefault="001C6904" w:rsidP="002E33B5">
      <w:pPr>
        <w:spacing w:after="0" w:line="240" w:lineRule="auto"/>
      </w:pPr>
      <w:r>
        <w:separator/>
      </w:r>
    </w:p>
  </w:footnote>
  <w:footnote w:type="continuationSeparator" w:id="0">
    <w:p w14:paraId="1F97CC6F" w14:textId="77777777" w:rsidR="001C6904" w:rsidRDefault="001C6904" w:rsidP="002E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1070" w14:textId="77777777" w:rsidR="002E33B5" w:rsidRDefault="002E33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4127"/>
      <w:docPartObj>
        <w:docPartGallery w:val="Watermarks"/>
        <w:docPartUnique/>
      </w:docPartObj>
    </w:sdtPr>
    <w:sdtEndPr/>
    <w:sdtContent>
      <w:p w14:paraId="4595FDA5" w14:textId="21B50305" w:rsidR="002E33B5" w:rsidRDefault="001C6904">
        <w:pPr>
          <w:pStyle w:val="Header"/>
        </w:pPr>
        <w:r>
          <w:rPr>
            <w:noProof/>
          </w:rPr>
          <w:pict w14:anchorId="1E544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73CB" w14:textId="77777777" w:rsidR="002E33B5" w:rsidRDefault="002E3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37"/>
    <w:rsid w:val="00002C59"/>
    <w:rsid w:val="00002D44"/>
    <w:rsid w:val="000040F9"/>
    <w:rsid w:val="00041C19"/>
    <w:rsid w:val="000443BD"/>
    <w:rsid w:val="00064792"/>
    <w:rsid w:val="00073DB7"/>
    <w:rsid w:val="00080065"/>
    <w:rsid w:val="0008447E"/>
    <w:rsid w:val="00094BB4"/>
    <w:rsid w:val="000A0BCA"/>
    <w:rsid w:val="000B0D4C"/>
    <w:rsid w:val="000B218B"/>
    <w:rsid w:val="000C5C4E"/>
    <w:rsid w:val="00102A0E"/>
    <w:rsid w:val="0010549E"/>
    <w:rsid w:val="00116D84"/>
    <w:rsid w:val="00120488"/>
    <w:rsid w:val="001349E2"/>
    <w:rsid w:val="00136E3C"/>
    <w:rsid w:val="00145558"/>
    <w:rsid w:val="00145EA5"/>
    <w:rsid w:val="00147062"/>
    <w:rsid w:val="00156645"/>
    <w:rsid w:val="0016182F"/>
    <w:rsid w:val="00170924"/>
    <w:rsid w:val="001B2F70"/>
    <w:rsid w:val="001B3790"/>
    <w:rsid w:val="001C6904"/>
    <w:rsid w:val="001E3E84"/>
    <w:rsid w:val="001F46F0"/>
    <w:rsid w:val="001F656A"/>
    <w:rsid w:val="00200CC7"/>
    <w:rsid w:val="00215E40"/>
    <w:rsid w:val="0022738F"/>
    <w:rsid w:val="00233168"/>
    <w:rsid w:val="00233550"/>
    <w:rsid w:val="0023376F"/>
    <w:rsid w:val="00241A89"/>
    <w:rsid w:val="00245B00"/>
    <w:rsid w:val="002665CB"/>
    <w:rsid w:val="00267B0A"/>
    <w:rsid w:val="002B1C44"/>
    <w:rsid w:val="002C13FB"/>
    <w:rsid w:val="002C5FA9"/>
    <w:rsid w:val="002D1716"/>
    <w:rsid w:val="002E33B5"/>
    <w:rsid w:val="002E423D"/>
    <w:rsid w:val="00316040"/>
    <w:rsid w:val="00327867"/>
    <w:rsid w:val="00330E07"/>
    <w:rsid w:val="00340020"/>
    <w:rsid w:val="003620F6"/>
    <w:rsid w:val="0038469E"/>
    <w:rsid w:val="003910F6"/>
    <w:rsid w:val="00394FAF"/>
    <w:rsid w:val="00405017"/>
    <w:rsid w:val="0041113B"/>
    <w:rsid w:val="0044287F"/>
    <w:rsid w:val="0048166B"/>
    <w:rsid w:val="004A1E3C"/>
    <w:rsid w:val="004A65A1"/>
    <w:rsid w:val="004A6F76"/>
    <w:rsid w:val="004A767C"/>
    <w:rsid w:val="004B0D4C"/>
    <w:rsid w:val="004B775D"/>
    <w:rsid w:val="004C3AD8"/>
    <w:rsid w:val="004D0F97"/>
    <w:rsid w:val="004F6D1B"/>
    <w:rsid w:val="005020F7"/>
    <w:rsid w:val="0051392D"/>
    <w:rsid w:val="0052320F"/>
    <w:rsid w:val="005563C4"/>
    <w:rsid w:val="00584E9A"/>
    <w:rsid w:val="005929F8"/>
    <w:rsid w:val="005A0320"/>
    <w:rsid w:val="005B0CD7"/>
    <w:rsid w:val="005F3C93"/>
    <w:rsid w:val="0060578C"/>
    <w:rsid w:val="00616F37"/>
    <w:rsid w:val="0062450C"/>
    <w:rsid w:val="006839D4"/>
    <w:rsid w:val="00684086"/>
    <w:rsid w:val="00697B45"/>
    <w:rsid w:val="006A24D3"/>
    <w:rsid w:val="006B7B72"/>
    <w:rsid w:val="006D72BC"/>
    <w:rsid w:val="006D78B1"/>
    <w:rsid w:val="006F72B8"/>
    <w:rsid w:val="007027A2"/>
    <w:rsid w:val="00703343"/>
    <w:rsid w:val="00711B07"/>
    <w:rsid w:val="00721740"/>
    <w:rsid w:val="00733DDB"/>
    <w:rsid w:val="007373DF"/>
    <w:rsid w:val="007A2504"/>
    <w:rsid w:val="007A795D"/>
    <w:rsid w:val="00805698"/>
    <w:rsid w:val="008272AD"/>
    <w:rsid w:val="00835E7F"/>
    <w:rsid w:val="00837F2F"/>
    <w:rsid w:val="008547D2"/>
    <w:rsid w:val="0086338B"/>
    <w:rsid w:val="00882A4C"/>
    <w:rsid w:val="008925F1"/>
    <w:rsid w:val="008A1099"/>
    <w:rsid w:val="008C7481"/>
    <w:rsid w:val="008E1CB3"/>
    <w:rsid w:val="008E6B03"/>
    <w:rsid w:val="008F0130"/>
    <w:rsid w:val="00911B8C"/>
    <w:rsid w:val="009168C0"/>
    <w:rsid w:val="009268FF"/>
    <w:rsid w:val="0095699A"/>
    <w:rsid w:val="00964E43"/>
    <w:rsid w:val="009C0C32"/>
    <w:rsid w:val="009C5157"/>
    <w:rsid w:val="009E2504"/>
    <w:rsid w:val="009E3A33"/>
    <w:rsid w:val="00A052B6"/>
    <w:rsid w:val="00A15382"/>
    <w:rsid w:val="00A32D8D"/>
    <w:rsid w:val="00A411D8"/>
    <w:rsid w:val="00A522B1"/>
    <w:rsid w:val="00A57F3B"/>
    <w:rsid w:val="00A64519"/>
    <w:rsid w:val="00A9044E"/>
    <w:rsid w:val="00A91E50"/>
    <w:rsid w:val="00AA7CAA"/>
    <w:rsid w:val="00AB41C5"/>
    <w:rsid w:val="00AE38BC"/>
    <w:rsid w:val="00AE788A"/>
    <w:rsid w:val="00B40487"/>
    <w:rsid w:val="00B47336"/>
    <w:rsid w:val="00B64463"/>
    <w:rsid w:val="00B757B1"/>
    <w:rsid w:val="00B85913"/>
    <w:rsid w:val="00BA52AF"/>
    <w:rsid w:val="00BA5687"/>
    <w:rsid w:val="00BD4A51"/>
    <w:rsid w:val="00C3764A"/>
    <w:rsid w:val="00C42CAC"/>
    <w:rsid w:val="00C5548A"/>
    <w:rsid w:val="00C656AF"/>
    <w:rsid w:val="00C6612A"/>
    <w:rsid w:val="00C80263"/>
    <w:rsid w:val="00CA40BA"/>
    <w:rsid w:val="00CA6782"/>
    <w:rsid w:val="00D11440"/>
    <w:rsid w:val="00D1590F"/>
    <w:rsid w:val="00D36459"/>
    <w:rsid w:val="00D70D45"/>
    <w:rsid w:val="00D81507"/>
    <w:rsid w:val="00D81644"/>
    <w:rsid w:val="00DF3074"/>
    <w:rsid w:val="00E00037"/>
    <w:rsid w:val="00E05E8F"/>
    <w:rsid w:val="00E235DC"/>
    <w:rsid w:val="00E24B7B"/>
    <w:rsid w:val="00E33623"/>
    <w:rsid w:val="00E34842"/>
    <w:rsid w:val="00E5594F"/>
    <w:rsid w:val="00E56F5C"/>
    <w:rsid w:val="00E6629B"/>
    <w:rsid w:val="00E66B1D"/>
    <w:rsid w:val="00E70CE4"/>
    <w:rsid w:val="00E97E67"/>
    <w:rsid w:val="00EB23F3"/>
    <w:rsid w:val="00F06D7D"/>
    <w:rsid w:val="00F1576E"/>
    <w:rsid w:val="00F35FA4"/>
    <w:rsid w:val="00F4052D"/>
    <w:rsid w:val="00F43B65"/>
    <w:rsid w:val="00F506D2"/>
    <w:rsid w:val="00F5794E"/>
    <w:rsid w:val="00F709AC"/>
    <w:rsid w:val="00F90996"/>
    <w:rsid w:val="00FA17AC"/>
    <w:rsid w:val="00FA2149"/>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8093E6"/>
  <w15:chartTrackingRefBased/>
  <w15:docId w15:val="{9EC4E1C9-0D1D-413D-BFF7-CB13DCA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37"/>
  </w:style>
  <w:style w:type="paragraph" w:styleId="Heading2">
    <w:name w:val="heading 2"/>
    <w:basedOn w:val="Normal"/>
    <w:next w:val="Normal"/>
    <w:link w:val="Heading2Char"/>
    <w:uiPriority w:val="9"/>
    <w:unhideWhenUsed/>
    <w:qFormat/>
    <w:rsid w:val="00F50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06D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A0BCA"/>
    <w:rPr>
      <w:i/>
      <w:iCs/>
    </w:rPr>
  </w:style>
  <w:style w:type="character" w:styleId="IntenseEmphasis">
    <w:name w:val="Intense Emphasis"/>
    <w:basedOn w:val="DefaultParagraphFont"/>
    <w:uiPriority w:val="21"/>
    <w:qFormat/>
    <w:rsid w:val="00073DB7"/>
    <w:rPr>
      <w:i/>
      <w:iCs/>
      <w:color w:val="4472C4" w:themeColor="accent1"/>
    </w:rPr>
  </w:style>
  <w:style w:type="paragraph" w:styleId="Header">
    <w:name w:val="header"/>
    <w:basedOn w:val="Normal"/>
    <w:link w:val="HeaderChar"/>
    <w:uiPriority w:val="99"/>
    <w:unhideWhenUsed/>
    <w:rsid w:val="002E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3B5"/>
  </w:style>
  <w:style w:type="paragraph" w:styleId="Footer">
    <w:name w:val="footer"/>
    <w:basedOn w:val="Normal"/>
    <w:link w:val="FooterChar"/>
    <w:uiPriority w:val="99"/>
    <w:unhideWhenUsed/>
    <w:rsid w:val="002E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8C79-2BE1-4858-AB51-0AAB7057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Young</dc:creator>
  <cp:keywords/>
  <dc:description/>
  <cp:lastModifiedBy>Gracia, Celeste</cp:lastModifiedBy>
  <cp:revision>2</cp:revision>
  <dcterms:created xsi:type="dcterms:W3CDTF">2022-02-10T22:54:00Z</dcterms:created>
  <dcterms:modified xsi:type="dcterms:W3CDTF">2022-02-10T22:54:00Z</dcterms:modified>
</cp:coreProperties>
</file>