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9670C" w14:textId="77777777" w:rsidR="005E3970" w:rsidRDefault="0054273B">
      <w:pPr>
        <w:jc w:val="center"/>
      </w:pPr>
      <w:r>
        <w:t>193 FERC ¶ 61,222</w:t>
      </w:r>
    </w:p>
    <w:p w14:paraId="2BE4E818" w14:textId="77777777" w:rsidR="002D1C68" w:rsidRPr="00CD0B38" w:rsidRDefault="002D1C68">
      <w:pPr>
        <w:jc w:val="center"/>
      </w:pPr>
      <w:r w:rsidRPr="00CD0B38">
        <w:t>UNITED STATES OF AMERICA</w:t>
      </w:r>
    </w:p>
    <w:p w14:paraId="07A8AFEC" w14:textId="77777777" w:rsidR="002D1C68" w:rsidRPr="00CD0B38" w:rsidRDefault="002D1C68">
      <w:pPr>
        <w:jc w:val="center"/>
      </w:pPr>
      <w:r w:rsidRPr="00CD0B38">
        <w:t>FEDERAL ENERGY REGULATORY COMMISSION</w:t>
      </w:r>
    </w:p>
    <w:p w14:paraId="6D71A3FC" w14:textId="77777777" w:rsidR="002D1C68" w:rsidRPr="00CD0B38" w:rsidRDefault="002D1C68"/>
    <w:p w14:paraId="2CDB4E3A" w14:textId="77777777" w:rsidR="00751C7B" w:rsidRPr="00751C7B" w:rsidRDefault="00751C7B" w:rsidP="00751C7B">
      <w:pPr>
        <w:widowControl/>
      </w:pPr>
      <w:r w:rsidRPr="00751C7B">
        <w:t>Before Commissioners:  Laura V. Swett, Chairman;</w:t>
      </w:r>
    </w:p>
    <w:p w14:paraId="149691A5" w14:textId="77777777" w:rsidR="00751C7B" w:rsidRPr="00751C7B" w:rsidRDefault="00751C7B" w:rsidP="00751C7B">
      <w:pPr>
        <w:widowControl/>
      </w:pPr>
      <w:r w:rsidRPr="00751C7B">
        <w:t xml:space="preserve">                                        David Rosner, Lindsay S. See,</w:t>
      </w:r>
    </w:p>
    <w:p w14:paraId="3BACDDAD" w14:textId="6F5E3517" w:rsidR="002D1C68" w:rsidRPr="00CD0B38" w:rsidRDefault="00751C7B" w:rsidP="00751C7B">
      <w:pPr>
        <w:widowControl/>
      </w:pPr>
      <w:r w:rsidRPr="00751C7B">
        <w:t xml:space="preserve">                                        Judy W. Chang, and David LaCerte.</w:t>
      </w:r>
      <w:r w:rsidR="002D1C68" w:rsidRPr="00CD0B38">
        <w:t xml:space="preserve"> </w:t>
      </w:r>
    </w:p>
    <w:p w14:paraId="71C11BAC" w14:textId="77777777" w:rsidR="002D1C68" w:rsidRPr="00CD0B38" w:rsidRDefault="002D1C68"/>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5932"/>
        <w:gridCol w:w="1898"/>
        <w:gridCol w:w="1530"/>
      </w:tblGrid>
      <w:tr w:rsidR="002D1C68" w:rsidRPr="00CD0B38" w14:paraId="7B555C34" w14:textId="77777777" w:rsidTr="00751C7B">
        <w:tc>
          <w:tcPr>
            <w:tcW w:w="5932" w:type="dxa"/>
          </w:tcPr>
          <w:p w14:paraId="184F8FEC" w14:textId="2E6EEED0" w:rsidR="002D1C68" w:rsidRPr="00CD0B38" w:rsidRDefault="002D1C68">
            <w:pPr>
              <w:widowControl/>
              <w:autoSpaceDE/>
              <w:autoSpaceDN/>
              <w:adjustRightInd/>
              <w:rPr>
                <w:rFonts w:eastAsiaTheme="minorHAnsi" w:cstheme="minorBidi"/>
                <w:szCs w:val="22"/>
              </w:rPr>
            </w:pPr>
            <w:r>
              <w:rPr>
                <w:rFonts w:eastAsiaTheme="minorHAnsi" w:cstheme="minorBidi"/>
                <w:szCs w:val="22"/>
              </w:rPr>
              <w:t>Mountain Valley Pipeline, LLC</w:t>
            </w:r>
          </w:p>
        </w:tc>
        <w:tc>
          <w:tcPr>
            <w:tcW w:w="1898" w:type="dxa"/>
          </w:tcPr>
          <w:p w14:paraId="3F50FCB8" w14:textId="6AECC689" w:rsidR="002D1C68" w:rsidRPr="00CD0B38" w:rsidRDefault="002D1C68" w:rsidP="002D1C68">
            <w:pPr>
              <w:widowControl/>
              <w:autoSpaceDE/>
              <w:autoSpaceDN/>
              <w:adjustRightInd/>
              <w:jc w:val="right"/>
              <w:rPr>
                <w:rFonts w:eastAsiaTheme="minorHAnsi" w:cstheme="minorBidi"/>
                <w:szCs w:val="22"/>
              </w:rPr>
            </w:pPr>
            <w:r>
              <w:rPr>
                <w:rFonts w:eastAsiaTheme="minorHAnsi" w:cstheme="minorBidi"/>
                <w:szCs w:val="22"/>
              </w:rPr>
              <w:t>Docket No.</w:t>
            </w:r>
          </w:p>
        </w:tc>
        <w:tc>
          <w:tcPr>
            <w:tcW w:w="1530" w:type="dxa"/>
            <w:tcMar>
              <w:left w:w="144" w:type="dxa"/>
            </w:tcMar>
          </w:tcPr>
          <w:p w14:paraId="20FBEA39" w14:textId="188957DA" w:rsidR="002D1C68" w:rsidRPr="00CD0B38" w:rsidRDefault="002D1C68" w:rsidP="00751C7B">
            <w:pPr>
              <w:widowControl/>
              <w:autoSpaceDE/>
              <w:autoSpaceDN/>
              <w:adjustRightInd/>
              <w:ind w:hanging="60"/>
              <w:rPr>
                <w:rFonts w:eastAsiaTheme="minorHAnsi" w:cstheme="minorBidi"/>
                <w:szCs w:val="22"/>
              </w:rPr>
            </w:pPr>
            <w:r>
              <w:rPr>
                <w:rFonts w:eastAsiaTheme="minorHAnsi" w:cstheme="minorBidi"/>
                <w:szCs w:val="22"/>
              </w:rPr>
              <w:t>CP25-60-000</w:t>
            </w:r>
          </w:p>
        </w:tc>
      </w:tr>
    </w:tbl>
    <w:p w14:paraId="14BF2C62" w14:textId="77777777" w:rsidR="002D1C68" w:rsidRPr="00CD0B38" w:rsidRDefault="002D1C68">
      <w:pPr>
        <w:jc w:val="center"/>
      </w:pPr>
    </w:p>
    <w:p w14:paraId="4536605A" w14:textId="326FEEAE" w:rsidR="002D1C68" w:rsidRPr="00CD0B38" w:rsidRDefault="002D1C68">
      <w:pPr>
        <w:jc w:val="center"/>
      </w:pPr>
      <w:r>
        <w:t>O</w:t>
      </w:r>
      <w:r w:rsidR="001229C4">
        <w:t xml:space="preserve">RDER </w:t>
      </w:r>
      <w:r w:rsidR="000503FC">
        <w:t xml:space="preserve">AMENDING </w:t>
      </w:r>
      <w:r w:rsidR="001229C4">
        <w:t>CERTIFICATE</w:t>
      </w:r>
    </w:p>
    <w:p w14:paraId="521B4213" w14:textId="77777777" w:rsidR="002D1C68" w:rsidRPr="00CD0B38" w:rsidRDefault="002D1C68">
      <w:pPr>
        <w:jc w:val="center"/>
      </w:pPr>
    </w:p>
    <w:p w14:paraId="7AC2A386" w14:textId="75C31334" w:rsidR="002D1C68" w:rsidRDefault="00751C7B" w:rsidP="00751C7B">
      <w:pPr>
        <w:widowControl/>
        <w:jc w:val="center"/>
      </w:pPr>
      <w:r w:rsidRPr="00751C7B">
        <w:t>(Issued December 1</w:t>
      </w:r>
      <w:r>
        <w:t>8</w:t>
      </w:r>
      <w:r w:rsidRPr="00751C7B">
        <w:t>, 2025)</w:t>
      </w:r>
    </w:p>
    <w:p w14:paraId="1808369B" w14:textId="77777777" w:rsidR="002D1C68" w:rsidRPr="00C26B1C" w:rsidRDefault="002D1C68">
      <w:pPr>
        <w:rPr>
          <w:bCs/>
        </w:rPr>
      </w:pPr>
    </w:p>
    <w:p w14:paraId="416226A4" w14:textId="08BD49D2" w:rsidR="000B1554" w:rsidRDefault="00B537A9" w:rsidP="000B1554">
      <w:pPr>
        <w:pStyle w:val="FERCparanumber"/>
      </w:pPr>
      <w:r>
        <w:t xml:space="preserve">On </w:t>
      </w:r>
      <w:r w:rsidR="00580904">
        <w:t>February 3, 2025</w:t>
      </w:r>
      <w:r w:rsidRPr="00B537A9">
        <w:t xml:space="preserve">, </w:t>
      </w:r>
      <w:r w:rsidR="00C51680">
        <w:t>Mountain Valley Pipeline, LLC,</w:t>
      </w:r>
      <w:r w:rsidRPr="00B537A9">
        <w:t xml:space="preserve"> (</w:t>
      </w:r>
      <w:r w:rsidR="00531322">
        <w:t>Mountain Valley</w:t>
      </w:r>
      <w:r w:rsidRPr="00B537A9">
        <w:t>) filed an application pursuant to section 7(c) of the Natural Gas Act (NGA)</w:t>
      </w:r>
      <w:r w:rsidRPr="00B537A9">
        <w:rPr>
          <w:b/>
          <w:vertAlign w:val="superscript"/>
        </w:rPr>
        <w:footnoteReference w:id="2"/>
      </w:r>
      <w:r w:rsidRPr="00B537A9">
        <w:t xml:space="preserve"> and Part 157 of the Commission’s regulations</w:t>
      </w:r>
      <w:r w:rsidRPr="00B537A9">
        <w:rPr>
          <w:b/>
          <w:vertAlign w:val="superscript"/>
        </w:rPr>
        <w:footnoteReference w:id="3"/>
      </w:r>
      <w:r w:rsidRPr="00B537A9">
        <w:t xml:space="preserve"> </w:t>
      </w:r>
      <w:r w:rsidR="00A16FDF" w:rsidRPr="00A16FDF">
        <w:t>to amend its certificate of public convenience and necessity, issued in Docket No. CP</w:t>
      </w:r>
      <w:r w:rsidR="00CE118A">
        <w:t>19</w:t>
      </w:r>
      <w:r w:rsidR="00A16FDF" w:rsidRPr="00A16FDF">
        <w:t>-</w:t>
      </w:r>
      <w:r w:rsidR="00CE118A">
        <w:t>1</w:t>
      </w:r>
      <w:r w:rsidR="00A16FDF" w:rsidRPr="00A16FDF">
        <w:t xml:space="preserve">4-000, which authorized </w:t>
      </w:r>
      <w:r w:rsidR="00CE118A">
        <w:t>Mountain Valley</w:t>
      </w:r>
      <w:r w:rsidR="00A16FDF" w:rsidRPr="00A16FDF">
        <w:t xml:space="preserve"> to construct and operate the </w:t>
      </w:r>
      <w:r w:rsidR="00660FDA">
        <w:t>Southgate</w:t>
      </w:r>
      <w:r w:rsidR="00A16FDF" w:rsidRPr="00A16FDF">
        <w:t xml:space="preserve"> Project </w:t>
      </w:r>
      <w:r w:rsidR="00090CBC" w:rsidRPr="00090CBC">
        <w:t>in Pittsylvania County, Virginia</w:t>
      </w:r>
      <w:r w:rsidR="00090CBC">
        <w:t xml:space="preserve">, and </w:t>
      </w:r>
      <w:r w:rsidR="00C86FE7" w:rsidRPr="00C86FE7">
        <w:t>Rockingham and Alamance Counties, North Carolina</w:t>
      </w:r>
      <w:r w:rsidR="00A00391">
        <w:t xml:space="preserve"> (</w:t>
      </w:r>
      <w:r w:rsidR="00777CB0">
        <w:t>Amendment</w:t>
      </w:r>
      <w:r w:rsidR="00A00391">
        <w:t xml:space="preserve"> Project or </w:t>
      </w:r>
      <w:r w:rsidR="008B36CD">
        <w:t>Southgate Amendment</w:t>
      </w:r>
      <w:r w:rsidR="00A00391">
        <w:t xml:space="preserve"> Project)</w:t>
      </w:r>
      <w:r w:rsidR="00A16FDF" w:rsidRPr="00A16FDF">
        <w:t>.</w:t>
      </w:r>
      <w:r w:rsidR="00A16FDF" w:rsidRPr="00A16FDF">
        <w:rPr>
          <w:b/>
          <w:vertAlign w:val="superscript"/>
        </w:rPr>
        <w:footnoteReference w:id="4"/>
      </w:r>
      <w:r w:rsidR="00A16FDF" w:rsidRPr="00A16FDF">
        <w:t xml:space="preserve">  </w:t>
      </w:r>
      <w:r w:rsidR="009A7290">
        <w:t xml:space="preserve">Among other changes, </w:t>
      </w:r>
      <w:r w:rsidR="00847E17">
        <w:t xml:space="preserve">Mountain Valley proposes to </w:t>
      </w:r>
      <w:r w:rsidR="00C37C16">
        <w:t>reduce the length of the pipeline route from 75 miles to 31.3 miles and</w:t>
      </w:r>
      <w:r w:rsidR="00847E17">
        <w:t xml:space="preserve"> </w:t>
      </w:r>
      <w:r w:rsidR="008323CF">
        <w:t>increase</w:t>
      </w:r>
      <w:r w:rsidR="00A16FDF" w:rsidRPr="00A16FDF">
        <w:t xml:space="preserve"> the diameter of the </w:t>
      </w:r>
      <w:r w:rsidR="00847E17">
        <w:t xml:space="preserve">project </w:t>
      </w:r>
      <w:r w:rsidR="002828B5">
        <w:t>p</w:t>
      </w:r>
      <w:r w:rsidR="00A16FDF" w:rsidRPr="00A16FDF">
        <w:t>ipeline</w:t>
      </w:r>
      <w:r w:rsidR="007014ED">
        <w:t xml:space="preserve"> </w:t>
      </w:r>
      <w:r w:rsidR="00A16FDF" w:rsidRPr="00A16FDF">
        <w:t xml:space="preserve">to </w:t>
      </w:r>
      <w:r w:rsidR="00CA0CA5">
        <w:t>30</w:t>
      </w:r>
      <w:r w:rsidR="00A16FDF" w:rsidRPr="00A16FDF">
        <w:t xml:space="preserve"> inches</w:t>
      </w:r>
      <w:r w:rsidR="003A1847">
        <w:t>.</w:t>
      </w:r>
      <w:r w:rsidR="003A1847">
        <w:rPr>
          <w:rStyle w:val="FootnoteReference"/>
        </w:rPr>
        <w:footnoteReference w:id="5"/>
      </w:r>
      <w:r w:rsidR="00A16FDF" w:rsidRPr="00A16FDF">
        <w:t xml:space="preserve">  </w:t>
      </w:r>
      <w:r w:rsidR="000635D0">
        <w:t xml:space="preserve">The </w:t>
      </w:r>
      <w:r w:rsidR="008B36CD">
        <w:t>Southgate Amendment</w:t>
      </w:r>
      <w:r w:rsidR="00760679">
        <w:t xml:space="preserve"> P</w:t>
      </w:r>
      <w:r w:rsidR="000635D0">
        <w:t xml:space="preserve">roject would enable Mountain Valley to provide </w:t>
      </w:r>
      <w:r w:rsidR="00F52A69">
        <w:t xml:space="preserve">550,000 </w:t>
      </w:r>
      <w:r w:rsidR="006C1228">
        <w:t>dekatherms per day (</w:t>
      </w:r>
      <w:r w:rsidR="00F52A69">
        <w:t>Dth/d</w:t>
      </w:r>
      <w:r w:rsidR="006C1228">
        <w:t>)</w:t>
      </w:r>
      <w:r w:rsidR="00F52A69">
        <w:t xml:space="preserve"> of firm transportation service from</w:t>
      </w:r>
      <w:r w:rsidR="009F32E6">
        <w:t xml:space="preserve"> Pi</w:t>
      </w:r>
      <w:r w:rsidR="00C058E3">
        <w:t xml:space="preserve">ttsylvania County, Virginia, to Rockingham County, North Carolina. </w:t>
      </w:r>
      <w:r w:rsidR="00F52A69">
        <w:t xml:space="preserve"> </w:t>
      </w:r>
      <w:r w:rsidR="00A16FDF" w:rsidRPr="00A16FDF">
        <w:t>For the reasons discussed below, we grant the requested amendment, subject to the conditions described herein.</w:t>
      </w:r>
    </w:p>
    <w:p w14:paraId="2913EE4E" w14:textId="40DD65ED" w:rsidR="000B1554" w:rsidRPr="00B537A9" w:rsidRDefault="000B1554" w:rsidP="000B1554">
      <w:pPr>
        <w:pStyle w:val="Heading1"/>
      </w:pPr>
      <w:r w:rsidRPr="00105606">
        <w:lastRenderedPageBreak/>
        <w:t>Background</w:t>
      </w:r>
      <w:r>
        <w:t xml:space="preserve"> and Proposal</w:t>
      </w:r>
    </w:p>
    <w:p w14:paraId="0E239395" w14:textId="20EDA789" w:rsidR="002D1C68" w:rsidRDefault="0095390C" w:rsidP="00372510">
      <w:pPr>
        <w:pStyle w:val="FERCparanumber"/>
      </w:pPr>
      <w:r>
        <w:t>Mountain Valley</w:t>
      </w:r>
      <w:r w:rsidRPr="0095390C">
        <w:t>,</w:t>
      </w:r>
      <w:r w:rsidR="006819EE" w:rsidRPr="006D7073">
        <w:rPr>
          <w:b/>
          <w:vertAlign w:val="superscript"/>
        </w:rPr>
        <w:footnoteReference w:id="6"/>
      </w:r>
      <w:r w:rsidRPr="0095390C">
        <w:t xml:space="preserve"> a Delaware limited liability company, is a natural gas company as defined by section 2(6) of the NGA</w:t>
      </w:r>
      <w:r w:rsidR="00D67A69">
        <w:t>.</w:t>
      </w:r>
      <w:r w:rsidR="00D67A69" w:rsidRPr="00D67A69">
        <w:rPr>
          <w:b/>
          <w:vertAlign w:val="superscript"/>
        </w:rPr>
        <w:footnoteReference w:id="7"/>
      </w:r>
      <w:r w:rsidR="00595477">
        <w:t xml:space="preserve"> </w:t>
      </w:r>
      <w:r w:rsidR="00607CB2">
        <w:t xml:space="preserve"> Mountain Valley</w:t>
      </w:r>
      <w:r w:rsidR="00574B77">
        <w:t xml:space="preserve">’s </w:t>
      </w:r>
      <w:r w:rsidR="00607CB2" w:rsidRPr="00320D78">
        <w:t xml:space="preserve">Mainline System currently transports up to 2 </w:t>
      </w:r>
      <w:r w:rsidR="009A7B08">
        <w:t xml:space="preserve">billion cubic feet per </w:t>
      </w:r>
      <w:r w:rsidR="00607CB2" w:rsidRPr="00320D78">
        <w:t>day of natural gas from Wetzel County, West Virginia, to Transcontinental Gas Pipeline Company, LLC’s (Transco) Zone 5 compressor station 165 in Pittsylvania County, Virginia.</w:t>
      </w:r>
      <w:r w:rsidR="0055382C">
        <w:rPr>
          <w:rStyle w:val="FootnoteReference"/>
        </w:rPr>
        <w:footnoteReference w:id="8"/>
      </w:r>
      <w:r w:rsidR="007F7F80">
        <w:t xml:space="preserve"> </w:t>
      </w:r>
    </w:p>
    <w:p w14:paraId="43484DE1" w14:textId="60C5AE37" w:rsidR="00557A7B" w:rsidRDefault="00DA31C2" w:rsidP="00557A7B">
      <w:pPr>
        <w:pStyle w:val="FERCparanumber"/>
      </w:pPr>
      <w:r>
        <w:t>O</w:t>
      </w:r>
      <w:r w:rsidR="00557A7B">
        <w:t xml:space="preserve">n </w:t>
      </w:r>
      <w:r>
        <w:t>June 18</w:t>
      </w:r>
      <w:r w:rsidR="00174968">
        <w:t>, 2020</w:t>
      </w:r>
      <w:r w:rsidR="00557A7B">
        <w:t xml:space="preserve">, the Commission </w:t>
      </w:r>
      <w:r w:rsidR="00174968">
        <w:t xml:space="preserve">issued </w:t>
      </w:r>
      <w:r w:rsidR="00A31A67">
        <w:t>Mountain Valley</w:t>
      </w:r>
      <w:r w:rsidR="00557A7B">
        <w:t xml:space="preserve"> </w:t>
      </w:r>
      <w:r w:rsidR="00174968">
        <w:t>a certificate of p</w:t>
      </w:r>
      <w:r w:rsidR="00C9558A">
        <w:t xml:space="preserve">ublic convenience and necessity authorizing </w:t>
      </w:r>
      <w:r w:rsidR="00557A7B">
        <w:t>t</w:t>
      </w:r>
      <w:r w:rsidR="00C9558A">
        <w:t>he</w:t>
      </w:r>
      <w:r w:rsidR="00557A7B">
        <w:t xml:space="preserve"> </w:t>
      </w:r>
      <w:r w:rsidR="00557A7B" w:rsidRPr="00ED2EB5">
        <w:t>construct</w:t>
      </w:r>
      <w:r w:rsidR="00C9558A">
        <w:t>ion</w:t>
      </w:r>
      <w:r w:rsidR="00557A7B" w:rsidRPr="00ED2EB5">
        <w:t xml:space="preserve"> and operat</w:t>
      </w:r>
      <w:r w:rsidR="00C9558A">
        <w:t>ion</w:t>
      </w:r>
      <w:r w:rsidR="00557A7B">
        <w:t xml:space="preserve"> </w:t>
      </w:r>
      <w:r w:rsidR="00F06768">
        <w:t xml:space="preserve">of </w:t>
      </w:r>
      <w:r w:rsidR="00557A7B">
        <w:t xml:space="preserve">the </w:t>
      </w:r>
      <w:r w:rsidR="00A31A67">
        <w:t>Southgate</w:t>
      </w:r>
      <w:r w:rsidR="00557A7B">
        <w:t xml:space="preserve"> Project,</w:t>
      </w:r>
      <w:r w:rsidR="00FB30E6">
        <w:t xml:space="preserve"> which </w:t>
      </w:r>
      <w:r w:rsidR="00C9558A">
        <w:t>wa</w:t>
      </w:r>
      <w:r w:rsidR="00FB30E6">
        <w:t>s</w:t>
      </w:r>
      <w:r w:rsidR="00E729D6">
        <w:t xml:space="preserve"> designed to </w:t>
      </w:r>
      <w:r w:rsidR="00E729D6" w:rsidRPr="00E729D6">
        <w:t>provide up to 375,000 Dt</w:t>
      </w:r>
      <w:r w:rsidR="00A047BF">
        <w:t>h</w:t>
      </w:r>
      <w:r w:rsidR="00C9558A">
        <w:t>/d</w:t>
      </w:r>
      <w:r w:rsidR="00E729D6" w:rsidRPr="00E729D6">
        <w:t xml:space="preserve"> of firm transportation service from an interconnect in Pittsylvania County, Virginia, to </w:t>
      </w:r>
      <w:r w:rsidR="007B1DBD">
        <w:t xml:space="preserve">delivery points in </w:t>
      </w:r>
      <w:r w:rsidR="007F03CD">
        <w:t>Rockingham and Alamance Counties, North Carolina</w:t>
      </w:r>
      <w:r w:rsidR="00751282">
        <w:t xml:space="preserve"> (Certificate Order)</w:t>
      </w:r>
      <w:r w:rsidR="007F03CD">
        <w:t xml:space="preserve">. </w:t>
      </w:r>
      <w:r w:rsidR="006A1419">
        <w:t xml:space="preserve"> </w:t>
      </w:r>
      <w:r w:rsidR="000B0A67">
        <w:t xml:space="preserve">The </w:t>
      </w:r>
      <w:r w:rsidR="008F490C">
        <w:t>Public Service Company of North Carolina, Inc. (PSN</w:t>
      </w:r>
      <w:r w:rsidR="00F06768">
        <w:t>C</w:t>
      </w:r>
      <w:r w:rsidR="008F490C">
        <w:t>)</w:t>
      </w:r>
      <w:r w:rsidR="00D20700">
        <w:t>,</w:t>
      </w:r>
      <w:r w:rsidR="008F490C">
        <w:t xml:space="preserve"> the sole </w:t>
      </w:r>
      <w:r w:rsidR="006E528E">
        <w:t>project</w:t>
      </w:r>
      <w:r w:rsidR="008F490C">
        <w:t xml:space="preserve"> shipper</w:t>
      </w:r>
      <w:r w:rsidR="00D20700">
        <w:t>,</w:t>
      </w:r>
      <w:r w:rsidR="006E528E">
        <w:t xml:space="preserve"> executed a precedent agreement for 300,000 Dt/d</w:t>
      </w:r>
      <w:r w:rsidR="00A05A88">
        <w:t>.</w:t>
      </w:r>
      <w:r w:rsidR="00A05A88">
        <w:rPr>
          <w:rStyle w:val="FootnoteReference"/>
        </w:rPr>
        <w:footnoteReference w:id="9"/>
      </w:r>
      <w:r w:rsidR="007F03CD">
        <w:t xml:space="preserve"> </w:t>
      </w:r>
      <w:r w:rsidR="006A1419">
        <w:t xml:space="preserve"> </w:t>
      </w:r>
      <w:r w:rsidR="00557A7B">
        <w:t xml:space="preserve">The </w:t>
      </w:r>
      <w:r w:rsidR="00274D4D">
        <w:t xml:space="preserve">previously </w:t>
      </w:r>
      <w:r w:rsidR="00557A7B">
        <w:t>authorized pipeline and compression facilities consist</w:t>
      </w:r>
      <w:r w:rsidR="009444FA">
        <w:t>ed</w:t>
      </w:r>
      <w:r w:rsidR="00557A7B">
        <w:t xml:space="preserve"> of:</w:t>
      </w:r>
    </w:p>
    <w:p w14:paraId="6F7595C6" w14:textId="16CC2B04" w:rsidR="001715BB" w:rsidRDefault="001715BB" w:rsidP="001715BB">
      <w:pPr>
        <w:pStyle w:val="FERCparanumber"/>
        <w:numPr>
          <w:ilvl w:val="0"/>
          <w:numId w:val="24"/>
        </w:numPr>
        <w:spacing w:after="240"/>
      </w:pPr>
      <w:bookmarkStart w:id="0" w:name="_Hlk204597369"/>
      <w:r>
        <w:t xml:space="preserve">approximately </w:t>
      </w:r>
      <w:r w:rsidR="00020906">
        <w:t>31</w:t>
      </w:r>
      <w:r>
        <w:t xml:space="preserve"> miles of 24-inch-diameter natural gas pipeline in Pittsylvania County, Virginia, and Rockingham County, North Carolina; </w:t>
      </w:r>
    </w:p>
    <w:bookmarkEnd w:id="0"/>
    <w:p w14:paraId="0CFFCFAF" w14:textId="3637C32E" w:rsidR="001715BB" w:rsidRDefault="001715BB" w:rsidP="001715BB">
      <w:pPr>
        <w:pStyle w:val="FERCparanumber"/>
        <w:numPr>
          <w:ilvl w:val="0"/>
          <w:numId w:val="24"/>
        </w:numPr>
        <w:spacing w:after="240"/>
      </w:pPr>
      <w:r>
        <w:t xml:space="preserve">approximately </w:t>
      </w:r>
      <w:r w:rsidR="00100324">
        <w:t>44</w:t>
      </w:r>
      <w:r>
        <w:t xml:space="preserve"> miles of 16-inch-diameter natural gas pipeline in Rockingham and Alamance Counties, North Carolina; </w:t>
      </w:r>
    </w:p>
    <w:p w14:paraId="4CCF1EB3" w14:textId="5F6EBEE1" w:rsidR="001715BB" w:rsidRDefault="001715BB" w:rsidP="001715BB">
      <w:pPr>
        <w:pStyle w:val="FERCparanumber"/>
        <w:numPr>
          <w:ilvl w:val="0"/>
          <w:numId w:val="24"/>
        </w:numPr>
        <w:spacing w:after="240"/>
      </w:pPr>
      <w:r>
        <w:t xml:space="preserve">one 28,915-horsepower compressor station, including two natural gas-fired turbine-driven compressor units, in Pittsylvania County, Virginia (Lambert Compressor Station); </w:t>
      </w:r>
    </w:p>
    <w:p w14:paraId="40D9A6B9" w14:textId="2DC061D6" w:rsidR="001715BB" w:rsidRDefault="001715BB" w:rsidP="001715BB">
      <w:pPr>
        <w:pStyle w:val="FERCparanumber"/>
        <w:numPr>
          <w:ilvl w:val="0"/>
          <w:numId w:val="24"/>
        </w:numPr>
        <w:spacing w:after="240"/>
      </w:pPr>
      <w:r>
        <w:lastRenderedPageBreak/>
        <w:t xml:space="preserve">four interconnects and associated meter stations; and </w:t>
      </w:r>
    </w:p>
    <w:p w14:paraId="4A5BC611" w14:textId="3D836A4F" w:rsidR="001715BB" w:rsidRDefault="001715BB" w:rsidP="001715BB">
      <w:pPr>
        <w:pStyle w:val="FERCparanumber"/>
        <w:numPr>
          <w:ilvl w:val="0"/>
          <w:numId w:val="24"/>
        </w:numPr>
        <w:spacing w:after="240"/>
      </w:pPr>
      <w:r>
        <w:t>ancillary facilities including pig launchers and receivers,</w:t>
      </w:r>
      <w:r>
        <w:rPr>
          <w:rStyle w:val="FootnoteReference"/>
        </w:rPr>
        <w:footnoteReference w:id="10"/>
      </w:r>
      <w:r>
        <w:t xml:space="preserve"> mainline block valves, and cathodic protection beds.</w:t>
      </w:r>
    </w:p>
    <w:p w14:paraId="6C014815" w14:textId="6F6EE057" w:rsidR="00557A7B" w:rsidRDefault="000F306B" w:rsidP="00FD3D3B">
      <w:pPr>
        <w:pStyle w:val="FERCparanumber"/>
      </w:pPr>
      <w:r>
        <w:t xml:space="preserve">Mountain Valley </w:t>
      </w:r>
      <w:r w:rsidRPr="000F306B">
        <w:t xml:space="preserve">has not submitted a request to begin construction of the </w:t>
      </w:r>
      <w:r w:rsidR="00ED1857">
        <w:t>Southgate</w:t>
      </w:r>
      <w:r w:rsidRPr="000F306B">
        <w:t xml:space="preserve"> Project.</w:t>
      </w:r>
    </w:p>
    <w:p w14:paraId="408BE06F" w14:textId="50037E3A" w:rsidR="002916B4" w:rsidRDefault="00C33CE0" w:rsidP="00FD3D3B">
      <w:pPr>
        <w:pStyle w:val="FERCparanumber"/>
      </w:pPr>
      <w:r>
        <w:t xml:space="preserve">In its amendment application, </w:t>
      </w:r>
      <w:r w:rsidR="002916B4">
        <w:t xml:space="preserve">Mountain Valley </w:t>
      </w:r>
      <w:r w:rsidR="00D523D7">
        <w:t xml:space="preserve">requests to reduce </w:t>
      </w:r>
      <w:r w:rsidR="003F429A">
        <w:t xml:space="preserve">the length of the </w:t>
      </w:r>
      <w:r w:rsidR="00244422">
        <w:t>c</w:t>
      </w:r>
      <w:r w:rsidR="00900975">
        <w:t>e</w:t>
      </w:r>
      <w:r w:rsidR="00244422">
        <w:t>r</w:t>
      </w:r>
      <w:r w:rsidR="00900975">
        <w:t>ti</w:t>
      </w:r>
      <w:r w:rsidR="00244422">
        <w:t>ficated project</w:t>
      </w:r>
      <w:r w:rsidR="00D523D7">
        <w:t xml:space="preserve"> by more than half</w:t>
      </w:r>
      <w:r w:rsidR="00244422">
        <w:t>,</w:t>
      </w:r>
      <w:r w:rsidR="00A71C4D">
        <w:t xml:space="preserve"> </w:t>
      </w:r>
      <w:r w:rsidR="00C70EFB">
        <w:t xml:space="preserve">which </w:t>
      </w:r>
      <w:r w:rsidR="00A919DE">
        <w:t>result</w:t>
      </w:r>
      <w:r w:rsidR="00C70EFB">
        <w:t>s</w:t>
      </w:r>
      <w:r w:rsidR="00A919DE">
        <w:t xml:space="preserve"> in </w:t>
      </w:r>
      <w:r w:rsidR="00244422">
        <w:t xml:space="preserve">substantially fewer water body </w:t>
      </w:r>
      <w:r w:rsidR="00900975">
        <w:t>crossings</w:t>
      </w:r>
      <w:r w:rsidR="00244422">
        <w:t xml:space="preserve">, </w:t>
      </w:r>
      <w:r w:rsidR="00BF3007">
        <w:t xml:space="preserve">to </w:t>
      </w:r>
      <w:r w:rsidR="00E07464">
        <w:t>no longer construct</w:t>
      </w:r>
      <w:r w:rsidR="00BF3007">
        <w:t xml:space="preserve"> </w:t>
      </w:r>
      <w:r w:rsidR="00322E18">
        <w:t>the Lambert Compressor Station</w:t>
      </w:r>
      <w:r w:rsidR="000D75CE">
        <w:t>, and to increase the diameter of the p</w:t>
      </w:r>
      <w:r w:rsidR="007931EF">
        <w:t>roject pipeline</w:t>
      </w:r>
      <w:r w:rsidR="00244422">
        <w:t>.</w:t>
      </w:r>
      <w:r w:rsidR="00116FB3">
        <w:t xml:space="preserve">  The </w:t>
      </w:r>
      <w:r w:rsidR="00777CB0">
        <w:t>Amendment</w:t>
      </w:r>
      <w:r w:rsidR="00482472">
        <w:t xml:space="preserve"> Project</w:t>
      </w:r>
      <w:r w:rsidR="00116FB3">
        <w:t xml:space="preserve"> would enable Mountain Valley to provide 550,000 Dth/d of firm transportation service </w:t>
      </w:r>
      <w:r w:rsidR="005E43DB">
        <w:t>to project shippers</w:t>
      </w:r>
      <w:r w:rsidR="00104CAA">
        <w:t xml:space="preserve"> (i.e., 175,000 Dth/d more than the originally certificated Southgate Project)</w:t>
      </w:r>
      <w:r w:rsidR="005E43DB">
        <w:t>.</w:t>
      </w:r>
    </w:p>
    <w:p w14:paraId="64C7AED7" w14:textId="1FAA7A33" w:rsidR="00946E97" w:rsidRDefault="00946E97" w:rsidP="00FD3D3B">
      <w:pPr>
        <w:pStyle w:val="FERCparanumber"/>
      </w:pPr>
      <w:r>
        <w:t xml:space="preserve">Specifically, Mountain Valley </w:t>
      </w:r>
      <w:r w:rsidR="00611588">
        <w:t xml:space="preserve">requests that the Commission </w:t>
      </w:r>
      <w:r w:rsidR="00EF07B3">
        <w:t xml:space="preserve">amend its certificate </w:t>
      </w:r>
      <w:r w:rsidR="00950746">
        <w:t xml:space="preserve">authorization </w:t>
      </w:r>
      <w:r w:rsidR="0019115A">
        <w:t xml:space="preserve">to </w:t>
      </w:r>
      <w:r w:rsidR="00081741">
        <w:t xml:space="preserve">enable </w:t>
      </w:r>
      <w:r w:rsidR="00950746">
        <w:t>Mountain Valley</w:t>
      </w:r>
      <w:r w:rsidR="00081741">
        <w:t xml:space="preserve"> to </w:t>
      </w:r>
      <w:r w:rsidR="00BA6F2F" w:rsidRPr="00BA6F2F">
        <w:t>construct, install, modify, and operate the following natural gas facilities:</w:t>
      </w:r>
    </w:p>
    <w:p w14:paraId="75ED78A9" w14:textId="5AB80896" w:rsidR="00195F9C" w:rsidRDefault="00195F9C" w:rsidP="00195F9C">
      <w:pPr>
        <w:pStyle w:val="FERCparanumber"/>
        <w:numPr>
          <w:ilvl w:val="0"/>
          <w:numId w:val="24"/>
        </w:numPr>
        <w:spacing w:after="240"/>
      </w:pPr>
      <w:r>
        <w:t xml:space="preserve">approximately </w:t>
      </w:r>
      <w:r w:rsidR="002E368B">
        <w:t>3</w:t>
      </w:r>
      <w:r w:rsidR="00DE5D73">
        <w:t>1.3 miles of 30</w:t>
      </w:r>
      <w:r>
        <w:t>-inch-diameter natural gas pipeline in Pittsylvania County, Virginia</w:t>
      </w:r>
      <w:r w:rsidR="00063CA9">
        <w:t>, and Rockingham County, North Carolina</w:t>
      </w:r>
      <w:r>
        <w:t>;</w:t>
      </w:r>
      <w:r w:rsidR="00EF00A5">
        <w:rPr>
          <w:rStyle w:val="FootnoteReference"/>
        </w:rPr>
        <w:footnoteReference w:id="11"/>
      </w:r>
      <w:r>
        <w:t xml:space="preserve"> </w:t>
      </w:r>
    </w:p>
    <w:p w14:paraId="0BA77E00" w14:textId="1CE945F5" w:rsidR="00C75ADE" w:rsidRDefault="00C75ADE" w:rsidP="00C75ADE">
      <w:pPr>
        <w:pStyle w:val="FERCparanumber"/>
        <w:numPr>
          <w:ilvl w:val="0"/>
          <w:numId w:val="24"/>
        </w:numPr>
        <w:spacing w:after="240"/>
      </w:pPr>
      <w:r>
        <w:t xml:space="preserve">four </w:t>
      </w:r>
      <w:r w:rsidR="000D6D4A">
        <w:t xml:space="preserve">interconnects and associated </w:t>
      </w:r>
      <w:r>
        <w:t xml:space="preserve">meter stations; and </w:t>
      </w:r>
    </w:p>
    <w:p w14:paraId="0649FAB6" w14:textId="50B55AD0" w:rsidR="00195F9C" w:rsidRDefault="00C75ADE" w:rsidP="00C646F0">
      <w:pPr>
        <w:pStyle w:val="FERCparanumber"/>
        <w:numPr>
          <w:ilvl w:val="0"/>
          <w:numId w:val="24"/>
        </w:numPr>
        <w:spacing w:after="240"/>
      </w:pPr>
      <w:r>
        <w:t>ancillary facilities including pig launchers and receivers, mainline block valves, and cathodic protection beds.</w:t>
      </w:r>
    </w:p>
    <w:p w14:paraId="09CB391D" w14:textId="0D98B444" w:rsidR="00996441" w:rsidRDefault="00996441" w:rsidP="00996441">
      <w:pPr>
        <w:pStyle w:val="FERCparanumber"/>
      </w:pPr>
      <w:r>
        <w:t xml:space="preserve">Mountain Valley </w:t>
      </w:r>
      <w:r w:rsidRPr="005A2753">
        <w:t xml:space="preserve">held an open season from </w:t>
      </w:r>
      <w:r w:rsidR="004F723D">
        <w:t>February 2</w:t>
      </w:r>
      <w:r w:rsidR="00EC0047">
        <w:t xml:space="preserve"> to February 6</w:t>
      </w:r>
      <w:r w:rsidRPr="005A2753">
        <w:t>, 202</w:t>
      </w:r>
      <w:r w:rsidR="004F723D">
        <w:t>4</w:t>
      </w:r>
      <w:r w:rsidRPr="005A2753">
        <w:t>, to solicit interest in the</w:t>
      </w:r>
      <w:r>
        <w:t xml:space="preserve"> </w:t>
      </w:r>
      <w:r w:rsidR="00777CB0">
        <w:t>Amendment</w:t>
      </w:r>
      <w:r w:rsidR="00A96D5C">
        <w:t xml:space="preserve"> Project</w:t>
      </w:r>
      <w:r>
        <w:t>.</w:t>
      </w:r>
      <w:r>
        <w:rPr>
          <w:rStyle w:val="FootnoteReference"/>
        </w:rPr>
        <w:footnoteReference w:id="12"/>
      </w:r>
      <w:r>
        <w:t xml:space="preserve">  As a result of</w:t>
      </w:r>
      <w:r w:rsidRPr="00F64491">
        <w:t xml:space="preserve"> the open season, </w:t>
      </w:r>
      <w:r w:rsidR="00A86053">
        <w:t>Mountain Valley</w:t>
      </w:r>
      <w:r w:rsidRPr="00F64491">
        <w:t xml:space="preserve"> executed binding long-term precedent agreements</w:t>
      </w:r>
      <w:r>
        <w:t xml:space="preserve"> with</w:t>
      </w:r>
      <w:r w:rsidRPr="00F64491">
        <w:t xml:space="preserve"> </w:t>
      </w:r>
      <w:r w:rsidR="007E09F8">
        <w:t>two unaffiliated shipper</w:t>
      </w:r>
      <w:r w:rsidR="00151300">
        <w:t>s</w:t>
      </w:r>
      <w:r w:rsidR="007E09F8">
        <w:t xml:space="preserve">, </w:t>
      </w:r>
      <w:r w:rsidR="00872AE5">
        <w:t>Duke Energy Carolina, L</w:t>
      </w:r>
      <w:r w:rsidR="000E5CD1">
        <w:t>LC</w:t>
      </w:r>
      <w:r>
        <w:t xml:space="preserve"> (</w:t>
      </w:r>
      <w:r w:rsidR="00872AE5">
        <w:t>Duke Energy</w:t>
      </w:r>
      <w:r>
        <w:t>)</w:t>
      </w:r>
      <w:r w:rsidR="007E09F8">
        <w:t xml:space="preserve"> </w:t>
      </w:r>
      <w:r w:rsidR="00F32633">
        <w:t xml:space="preserve">for </w:t>
      </w:r>
      <w:r w:rsidR="00F32633" w:rsidRPr="00F32633">
        <w:t xml:space="preserve">250,000 Dth/day of </w:t>
      </w:r>
      <w:r w:rsidR="00EE14ED">
        <w:t xml:space="preserve">firm </w:t>
      </w:r>
      <w:r w:rsidR="009A222D">
        <w:t>transportation</w:t>
      </w:r>
      <w:r w:rsidR="00EE14ED">
        <w:t xml:space="preserve"> </w:t>
      </w:r>
      <w:r w:rsidR="00F32633" w:rsidRPr="00F32633">
        <w:t>capacity</w:t>
      </w:r>
      <w:r w:rsidR="007E09F8">
        <w:t xml:space="preserve"> and </w:t>
      </w:r>
      <w:r w:rsidR="00762E07">
        <w:t>PSNC</w:t>
      </w:r>
      <w:r w:rsidR="00EE14ED">
        <w:t xml:space="preserve"> for </w:t>
      </w:r>
      <w:r w:rsidR="00C77AF0">
        <w:t>300</w:t>
      </w:r>
      <w:r w:rsidR="00EE14ED" w:rsidRPr="00EE14ED">
        <w:t xml:space="preserve">,000 </w:t>
      </w:r>
      <w:r w:rsidRPr="00D16C22">
        <w:t>of firm transportation service</w:t>
      </w:r>
      <w:r>
        <w:t xml:space="preserve">, </w:t>
      </w:r>
      <w:r w:rsidR="0032538B">
        <w:t>re</w:t>
      </w:r>
      <w:r w:rsidR="00BB4EC3">
        <w:t xml:space="preserve">flecting </w:t>
      </w:r>
      <w:r>
        <w:t xml:space="preserve">100% of </w:t>
      </w:r>
      <w:r w:rsidR="00BB4EC3">
        <w:t xml:space="preserve">the </w:t>
      </w:r>
      <w:r>
        <w:t>project</w:t>
      </w:r>
      <w:r w:rsidR="00BB4EC3">
        <w:t>’s</w:t>
      </w:r>
      <w:r>
        <w:t xml:space="preserve"> </w:t>
      </w:r>
      <w:r w:rsidR="00BB4EC3">
        <w:t>total</w:t>
      </w:r>
      <w:r>
        <w:t xml:space="preserve"> capacity, </w:t>
      </w:r>
      <w:r w:rsidR="000E5CD1">
        <w:t>with</w:t>
      </w:r>
      <w:r>
        <w:t xml:space="preserve"> term</w:t>
      </w:r>
      <w:r w:rsidR="000E5CD1">
        <w:t>s</w:t>
      </w:r>
      <w:r>
        <w:t xml:space="preserve"> of 20 years.</w:t>
      </w:r>
      <w:r>
        <w:rPr>
          <w:rStyle w:val="FootnoteReference"/>
        </w:rPr>
        <w:footnoteReference w:id="13"/>
      </w:r>
    </w:p>
    <w:p w14:paraId="492AD709" w14:textId="4238B3A7" w:rsidR="00CB2349" w:rsidRDefault="00996441" w:rsidP="00CB2349">
      <w:pPr>
        <w:pStyle w:val="FERCparanumber"/>
        <w:spacing w:after="240"/>
      </w:pPr>
      <w:r>
        <w:lastRenderedPageBreak/>
        <w:t xml:space="preserve">The estimated cost of the </w:t>
      </w:r>
      <w:r w:rsidR="00777CB0">
        <w:t>Amendment</w:t>
      </w:r>
      <w:r w:rsidR="00711CF8">
        <w:t xml:space="preserve"> Project</w:t>
      </w:r>
      <w:r>
        <w:t xml:space="preserve"> is approximately $</w:t>
      </w:r>
      <w:r w:rsidR="00865B99">
        <w:t>524</w:t>
      </w:r>
      <w:r>
        <w:t xml:space="preserve"> million.</w:t>
      </w:r>
      <w:r>
        <w:rPr>
          <w:rStyle w:val="FootnoteReference"/>
        </w:rPr>
        <w:footnoteReference w:id="14"/>
      </w:r>
      <w:r>
        <w:t xml:space="preserve">  </w:t>
      </w:r>
      <w:r w:rsidR="00CB2349">
        <w:t xml:space="preserve">Mountain Valley proposes </w:t>
      </w:r>
      <w:r w:rsidR="00676BD9">
        <w:t>no changes to the</w:t>
      </w:r>
      <w:r w:rsidR="00BE582B">
        <w:t xml:space="preserve"> separate</w:t>
      </w:r>
      <w:r w:rsidR="00691406">
        <w:t xml:space="preserve"> Southgate</w:t>
      </w:r>
      <w:r w:rsidR="00BE582B">
        <w:t xml:space="preserve"> </w:t>
      </w:r>
      <w:r w:rsidR="005314DF">
        <w:t xml:space="preserve">System </w:t>
      </w:r>
      <w:r w:rsidR="00BE582B">
        <w:t>rate zone</w:t>
      </w:r>
      <w:r w:rsidR="00691406">
        <w:t xml:space="preserve"> </w:t>
      </w:r>
      <w:r w:rsidR="00BE582B">
        <w:t>that was approved in the Certificate Order.</w:t>
      </w:r>
      <w:r w:rsidR="00AA084B">
        <w:rPr>
          <w:rStyle w:val="FootnoteReference"/>
        </w:rPr>
        <w:footnoteReference w:id="15"/>
      </w:r>
      <w:r w:rsidR="00BE582B">
        <w:t xml:space="preserve"> </w:t>
      </w:r>
      <w:r w:rsidR="00CB2349">
        <w:t xml:space="preserve"> </w:t>
      </w:r>
    </w:p>
    <w:p w14:paraId="0132CB44" w14:textId="77777777" w:rsidR="00FA2963" w:rsidRDefault="00FA2963" w:rsidP="00FA2963">
      <w:pPr>
        <w:pStyle w:val="Heading1"/>
      </w:pPr>
      <w:r>
        <w:t>Procedural Issues</w:t>
      </w:r>
    </w:p>
    <w:p w14:paraId="545ACC2D" w14:textId="6B95F784" w:rsidR="00996441" w:rsidRDefault="00FA2963" w:rsidP="00902F5C">
      <w:pPr>
        <w:pStyle w:val="Heading2"/>
      </w:pPr>
      <w:r>
        <w:t>Notice, Interventions, Protests, and Comments</w:t>
      </w:r>
    </w:p>
    <w:p w14:paraId="2130F69C" w14:textId="4C3581B3" w:rsidR="00195F9C" w:rsidRDefault="00E37102" w:rsidP="00FD3D3B">
      <w:pPr>
        <w:pStyle w:val="FERCparanumber"/>
      </w:pPr>
      <w:r>
        <w:t xml:space="preserve">Notice of Mountain Valley’s </w:t>
      </w:r>
      <w:r w:rsidR="008E72A5">
        <w:t xml:space="preserve">application was issued on </w:t>
      </w:r>
      <w:r w:rsidR="007C0F22">
        <w:t>February</w:t>
      </w:r>
      <w:r w:rsidR="00607E0A">
        <w:t xml:space="preserve"> 18, 2025</w:t>
      </w:r>
      <w:r w:rsidR="008E72A5">
        <w:t xml:space="preserve">, and published in the Federal Register on </w:t>
      </w:r>
      <w:r w:rsidR="007C0F22">
        <w:t>February 24, 2025</w:t>
      </w:r>
      <w:r w:rsidR="008E72A5">
        <w:t>.</w:t>
      </w:r>
      <w:r w:rsidR="003E3332" w:rsidRPr="003E3332">
        <w:rPr>
          <w:b/>
          <w:vertAlign w:val="superscript"/>
        </w:rPr>
        <w:footnoteReference w:id="16"/>
      </w:r>
      <w:r w:rsidR="00CB759C">
        <w:t xml:space="preserve">  The notice established </w:t>
      </w:r>
      <w:r w:rsidR="00B05C90">
        <w:t>March</w:t>
      </w:r>
      <w:r w:rsidR="002A5851">
        <w:t> </w:t>
      </w:r>
      <w:r w:rsidR="00B05C90">
        <w:t>11, 2025,</w:t>
      </w:r>
      <w:r w:rsidR="00CB759C">
        <w:t xml:space="preserve"> as the deadline for filing comments and interventions. </w:t>
      </w:r>
      <w:r w:rsidR="00066531">
        <w:t xml:space="preserve"> </w:t>
      </w:r>
      <w:r w:rsidR="00A75733">
        <w:t>PSNC</w:t>
      </w:r>
      <w:r w:rsidR="00D848D8">
        <w:t xml:space="preserve">, </w:t>
      </w:r>
      <w:r w:rsidR="00D848D8" w:rsidRPr="00D848D8">
        <w:t>Kellie Ferguson</w:t>
      </w:r>
      <w:r w:rsidR="00B26AE4">
        <w:t xml:space="preserve">, </w:t>
      </w:r>
      <w:r w:rsidR="00B26AE4" w:rsidRPr="00B26AE4">
        <w:t>Natural Gas Supply Association</w:t>
      </w:r>
      <w:r w:rsidR="00131DA3">
        <w:t xml:space="preserve">, </w:t>
      </w:r>
      <w:r w:rsidR="00131DA3" w:rsidRPr="00131DA3">
        <w:t>Duke Energy Carolinas, LLC and Duke Energy Progress, LLC</w:t>
      </w:r>
      <w:r w:rsidR="00131DA3">
        <w:t xml:space="preserve"> (jointly)</w:t>
      </w:r>
      <w:r w:rsidR="00560989">
        <w:t xml:space="preserve">, </w:t>
      </w:r>
      <w:r w:rsidR="00560989" w:rsidRPr="00560989">
        <w:t>Crystal Cavalier</w:t>
      </w:r>
      <w:r w:rsidR="004B4B1D">
        <w:t xml:space="preserve">, </w:t>
      </w:r>
      <w:r w:rsidR="004B4B1D" w:rsidRPr="004B4B1D">
        <w:t>Center for Biological Diversity</w:t>
      </w:r>
      <w:r w:rsidR="004B4B1D">
        <w:t xml:space="preserve">, </w:t>
      </w:r>
      <w:r w:rsidR="004B4B1D" w:rsidRPr="004B4B1D">
        <w:t>Center for LNG</w:t>
      </w:r>
      <w:r w:rsidR="004B4B1D">
        <w:t>,</w:t>
      </w:r>
      <w:r w:rsidR="00C73927">
        <w:t xml:space="preserve"> </w:t>
      </w:r>
      <w:r w:rsidR="00C73927" w:rsidRPr="00C73927">
        <w:t>Andrew Hinz</w:t>
      </w:r>
      <w:r w:rsidR="00C73927">
        <w:t>,</w:t>
      </w:r>
      <w:r w:rsidR="00AE0299">
        <w:t xml:space="preserve"> </w:t>
      </w:r>
      <w:r w:rsidR="00AE0299" w:rsidRPr="00AE0299">
        <w:t>Southern Alliance for Clean Energy</w:t>
      </w:r>
      <w:r w:rsidR="00306206">
        <w:t xml:space="preserve"> et al.</w:t>
      </w:r>
      <w:r w:rsidR="005F2C1E">
        <w:t>,</w:t>
      </w:r>
      <w:r w:rsidR="00D43E1E">
        <w:rPr>
          <w:rStyle w:val="FootnoteReference"/>
        </w:rPr>
        <w:footnoteReference w:id="17"/>
      </w:r>
      <w:r w:rsidR="00AE0299" w:rsidRPr="00AE0299">
        <w:t xml:space="preserve"> </w:t>
      </w:r>
      <w:r w:rsidR="00C45C4F" w:rsidRPr="00C45C4F">
        <w:t>American Gas Association</w:t>
      </w:r>
      <w:r w:rsidR="00C45C4F">
        <w:t>,</w:t>
      </w:r>
      <w:r w:rsidR="000C121A">
        <w:t xml:space="preserve"> </w:t>
      </w:r>
      <w:r w:rsidR="000C121A" w:rsidRPr="000C121A">
        <w:t>Public Citizen, Inc</w:t>
      </w:r>
      <w:r w:rsidR="0033035B">
        <w:t>.</w:t>
      </w:r>
      <w:r w:rsidR="00322D0B">
        <w:t xml:space="preserve">, </w:t>
      </w:r>
      <w:r w:rsidR="00322D0B" w:rsidRPr="00322D0B">
        <w:t>Transcontinental Gas Pipe Line Company, LLC</w:t>
      </w:r>
      <w:r w:rsidR="00322D0B">
        <w:t>,</w:t>
      </w:r>
      <w:r w:rsidR="00AE2B26">
        <w:t xml:space="preserve"> </w:t>
      </w:r>
      <w:r w:rsidR="00AE2B26" w:rsidRPr="00AE2B26">
        <w:t>Aminah Ghaffar</w:t>
      </w:r>
      <w:r w:rsidR="006F5DFC">
        <w:t xml:space="preserve">, Seth Harris, </w:t>
      </w:r>
      <w:r w:rsidR="003F7D7F" w:rsidRPr="003F7D7F">
        <w:t>Appalachian Voices et al.</w:t>
      </w:r>
      <w:r w:rsidR="005F2C1E">
        <w:t>,</w:t>
      </w:r>
      <w:r w:rsidR="00AE2927">
        <w:rPr>
          <w:rStyle w:val="FootnoteReference"/>
        </w:rPr>
        <w:footnoteReference w:id="18"/>
      </w:r>
      <w:r w:rsidR="00D0743C">
        <w:t xml:space="preserve"> </w:t>
      </w:r>
      <w:r w:rsidR="001D3644">
        <w:t xml:space="preserve">and </w:t>
      </w:r>
      <w:r w:rsidR="00D0743C" w:rsidRPr="00D0743C">
        <w:t>Protect Our Water, Heritage, Right</w:t>
      </w:r>
      <w:r w:rsidR="00774CB0">
        <w:t xml:space="preserve">s </w:t>
      </w:r>
      <w:r w:rsidR="00774CB0" w:rsidRPr="00774CB0">
        <w:t>filed timely, unopposed motions to intervene.</w:t>
      </w:r>
      <w:r w:rsidR="00774CB0" w:rsidRPr="00774CB0">
        <w:rPr>
          <w:b/>
          <w:vertAlign w:val="superscript"/>
        </w:rPr>
        <w:footnoteReference w:id="19"/>
      </w:r>
      <w:r w:rsidR="00774CB0" w:rsidRPr="00774CB0">
        <w:t xml:space="preserve">  </w:t>
      </w:r>
    </w:p>
    <w:p w14:paraId="05F757E1" w14:textId="15A77C11" w:rsidR="00777D5B" w:rsidRDefault="00777D5B" w:rsidP="00AD5255">
      <w:pPr>
        <w:pStyle w:val="FERCparanumber"/>
        <w:tabs>
          <w:tab w:val="clear" w:pos="720"/>
        </w:tabs>
        <w:spacing w:after="240"/>
      </w:pPr>
      <w:r>
        <w:t xml:space="preserve">As discussed further below, the Commission received numerous comments from individuals and groups regarding various issues.  Commenters in support of the project </w:t>
      </w:r>
      <w:r>
        <w:lastRenderedPageBreak/>
        <w:t>assert that the project will provide benefits such as meeting increased demand, enhancing system reliability, increasing access to lower priced natural gas, and</w:t>
      </w:r>
      <w:r w:rsidRPr="00C204E2">
        <w:t xml:space="preserve"> </w:t>
      </w:r>
      <w:r>
        <w:t xml:space="preserve">supporting jobs.  Commenters in opposition to the project raise issues including </w:t>
      </w:r>
      <w:r>
        <w:rPr>
          <w:bCs/>
        </w:rPr>
        <w:t>p</w:t>
      </w:r>
      <w:r w:rsidRPr="00B01601">
        <w:rPr>
          <w:bCs/>
        </w:rPr>
        <w:t>roject purpose and need</w:t>
      </w:r>
      <w:r w:rsidR="002F2EF5">
        <w:rPr>
          <w:bCs/>
        </w:rPr>
        <w:t>,</w:t>
      </w:r>
      <w:r w:rsidRPr="00B01601">
        <w:rPr>
          <w:bCs/>
        </w:rPr>
        <w:t xml:space="preserve"> alternatives</w:t>
      </w:r>
      <w:r w:rsidR="002F2EF5">
        <w:rPr>
          <w:bCs/>
        </w:rPr>
        <w:t>,</w:t>
      </w:r>
      <w:r w:rsidRPr="00B01601">
        <w:rPr>
          <w:bCs/>
        </w:rPr>
        <w:t xml:space="preserve"> </w:t>
      </w:r>
      <w:r>
        <w:rPr>
          <w:bCs/>
        </w:rPr>
        <w:t>the</w:t>
      </w:r>
      <w:r w:rsidR="008B57BF">
        <w:rPr>
          <w:bCs/>
        </w:rPr>
        <w:t xml:space="preserve"> </w:t>
      </w:r>
      <w:r w:rsidR="008A77D4">
        <w:rPr>
          <w:bCs/>
        </w:rPr>
        <w:t xml:space="preserve">proposed rate of </w:t>
      </w:r>
      <w:r w:rsidR="008B57BF">
        <w:rPr>
          <w:bCs/>
        </w:rPr>
        <w:t>return on equity</w:t>
      </w:r>
      <w:r w:rsidR="002F2EF5">
        <w:rPr>
          <w:bCs/>
        </w:rPr>
        <w:t>,</w:t>
      </w:r>
      <w:r>
        <w:rPr>
          <w:bCs/>
        </w:rPr>
        <w:t xml:space="preserve"> </w:t>
      </w:r>
      <w:r w:rsidR="00DD5820">
        <w:rPr>
          <w:bCs/>
        </w:rPr>
        <w:t>erosion and sedimentation</w:t>
      </w:r>
      <w:r w:rsidR="002F2EF5">
        <w:rPr>
          <w:bCs/>
        </w:rPr>
        <w:t>,</w:t>
      </w:r>
      <w:r w:rsidR="00DD5820">
        <w:rPr>
          <w:bCs/>
        </w:rPr>
        <w:t xml:space="preserve"> </w:t>
      </w:r>
      <w:r w:rsidRPr="00B01601">
        <w:rPr>
          <w:bCs/>
        </w:rPr>
        <w:t>air quality</w:t>
      </w:r>
      <w:r w:rsidR="002F2EF5">
        <w:rPr>
          <w:bCs/>
        </w:rPr>
        <w:t>,</w:t>
      </w:r>
      <w:r w:rsidRPr="00B01601">
        <w:rPr>
          <w:bCs/>
        </w:rPr>
        <w:t xml:space="preserve"> noise</w:t>
      </w:r>
      <w:r w:rsidR="002F2EF5">
        <w:rPr>
          <w:bCs/>
        </w:rPr>
        <w:t>,</w:t>
      </w:r>
      <w:r w:rsidRPr="00B01601">
        <w:rPr>
          <w:bCs/>
        </w:rPr>
        <w:t xml:space="preserve"> socioeconomic impacts</w:t>
      </w:r>
      <w:r w:rsidR="002F2EF5">
        <w:rPr>
          <w:bCs/>
        </w:rPr>
        <w:t>,</w:t>
      </w:r>
      <w:r w:rsidRPr="00B01601">
        <w:rPr>
          <w:bCs/>
        </w:rPr>
        <w:t xml:space="preserve"> cumulative impacts</w:t>
      </w:r>
      <w:r w:rsidR="002F2EF5">
        <w:rPr>
          <w:bCs/>
        </w:rPr>
        <w:t>,</w:t>
      </w:r>
      <w:r w:rsidRPr="00B01601">
        <w:rPr>
          <w:bCs/>
        </w:rPr>
        <w:t xml:space="preserve"> safety</w:t>
      </w:r>
      <w:r w:rsidR="002F2EF5">
        <w:rPr>
          <w:bCs/>
        </w:rPr>
        <w:t>,</w:t>
      </w:r>
      <w:r>
        <w:rPr>
          <w:bCs/>
        </w:rPr>
        <w:t xml:space="preserve"> </w:t>
      </w:r>
      <w:r w:rsidR="00CA29A7">
        <w:rPr>
          <w:bCs/>
        </w:rPr>
        <w:t>tribal consultation</w:t>
      </w:r>
      <w:r w:rsidR="002F2EF5">
        <w:rPr>
          <w:bCs/>
        </w:rPr>
        <w:t>,</w:t>
      </w:r>
      <w:r w:rsidR="00CA29A7">
        <w:rPr>
          <w:bCs/>
        </w:rPr>
        <w:t xml:space="preserve"> </w:t>
      </w:r>
      <w:r w:rsidRPr="00B01601">
        <w:rPr>
          <w:bCs/>
        </w:rPr>
        <w:t>greenhouse gases (GHG)</w:t>
      </w:r>
      <w:r w:rsidR="002F2EF5">
        <w:rPr>
          <w:bCs/>
        </w:rPr>
        <w:t>,</w:t>
      </w:r>
      <w:r w:rsidRPr="00B01601">
        <w:rPr>
          <w:bCs/>
        </w:rPr>
        <w:t xml:space="preserve"> and climate change.</w:t>
      </w:r>
      <w:r>
        <w:rPr>
          <w:bCs/>
        </w:rPr>
        <w:t xml:space="preserve">  </w:t>
      </w:r>
      <w:r>
        <w:t xml:space="preserve">These concerns are addressed in the Environmental </w:t>
      </w:r>
      <w:r w:rsidR="007C5083">
        <w:t xml:space="preserve">Assessment </w:t>
      </w:r>
      <w:r>
        <w:t>(E</w:t>
      </w:r>
      <w:r w:rsidR="007C5083">
        <w:t>A</w:t>
      </w:r>
      <w:r>
        <w:t xml:space="preserve">) </w:t>
      </w:r>
      <w:r w:rsidR="003135FA">
        <w:t>issued for the project and, as appropriate,</w:t>
      </w:r>
      <w:r>
        <w:t xml:space="preserve"> below.</w:t>
      </w:r>
    </w:p>
    <w:p w14:paraId="5834EC43" w14:textId="1F3C4BD8" w:rsidR="00EF5812" w:rsidRDefault="00EF5812" w:rsidP="00EF5812">
      <w:pPr>
        <w:pStyle w:val="Heading2"/>
      </w:pPr>
      <w:r>
        <w:t>Answer</w:t>
      </w:r>
    </w:p>
    <w:p w14:paraId="3F5A2A59" w14:textId="782FC7F9" w:rsidR="00EF5812" w:rsidRDefault="00EF5812" w:rsidP="00EF5812">
      <w:pPr>
        <w:pStyle w:val="FERCparanumber"/>
        <w:tabs>
          <w:tab w:val="clear" w:pos="720"/>
        </w:tabs>
        <w:spacing w:after="240"/>
      </w:pPr>
      <w:r>
        <w:t xml:space="preserve">Mountain Valley filed an answer to </w:t>
      </w:r>
      <w:r w:rsidR="002C3CD5">
        <w:t xml:space="preserve">the </w:t>
      </w:r>
      <w:r>
        <w:t>comments filed in response to the notice of application.</w:t>
      </w:r>
      <w:r>
        <w:rPr>
          <w:rStyle w:val="FootnoteReference"/>
        </w:rPr>
        <w:footnoteReference w:id="20"/>
      </w:r>
      <w:r>
        <w:t xml:space="preserve">  </w:t>
      </w:r>
      <w:r w:rsidRPr="00190934">
        <w:t>Although the Commission</w:t>
      </w:r>
      <w:r>
        <w:t>’</w:t>
      </w:r>
      <w:r w:rsidRPr="00190934">
        <w:t xml:space="preserve">s Rules of Practice and Procedure do not permit answers to protests or answers to answers, we find good cause to waive our rules and accept the answer because </w:t>
      </w:r>
      <w:r w:rsidR="004D3ABC">
        <w:t>it</w:t>
      </w:r>
      <w:r w:rsidR="004D3ABC" w:rsidRPr="00190934">
        <w:t xml:space="preserve"> </w:t>
      </w:r>
      <w:r w:rsidRPr="00190934">
        <w:t>provide</w:t>
      </w:r>
      <w:r w:rsidR="004D3ABC">
        <w:t>s</w:t>
      </w:r>
      <w:r w:rsidRPr="00190934">
        <w:t xml:space="preserve"> information that has assisted in our decision-making process.</w:t>
      </w:r>
      <w:r>
        <w:rPr>
          <w:rStyle w:val="FootnoteReference"/>
        </w:rPr>
        <w:footnoteReference w:id="21"/>
      </w:r>
    </w:p>
    <w:p w14:paraId="13C72860" w14:textId="5ED2C773" w:rsidR="00E87DF9" w:rsidRDefault="00E87DF9" w:rsidP="008D383B">
      <w:pPr>
        <w:pStyle w:val="Heading2"/>
      </w:pPr>
      <w:r>
        <w:t>Motion to Lodge</w:t>
      </w:r>
      <w:r w:rsidR="00C70835">
        <w:t xml:space="preserve"> and Protest</w:t>
      </w:r>
    </w:p>
    <w:p w14:paraId="1C3D1311" w14:textId="55EA902B" w:rsidR="003C11C1" w:rsidRDefault="0099588B" w:rsidP="008D383B">
      <w:pPr>
        <w:pStyle w:val="FERCparanumber"/>
      </w:pPr>
      <w:r>
        <w:t xml:space="preserve">On November 21, 2025, </w:t>
      </w:r>
      <w:r w:rsidR="00F410A3">
        <w:t>Southern Alliance for Clean Energy, 7 Directions of Service, Katie Whitehead, and Robert McNutt filed a joint motion to lodge</w:t>
      </w:r>
      <w:r w:rsidR="00341D14">
        <w:t xml:space="preserve"> a report prepared by </w:t>
      </w:r>
      <w:r w:rsidR="00F72935">
        <w:t xml:space="preserve">London </w:t>
      </w:r>
      <w:r w:rsidR="002B2F9B">
        <w:t>Economics International LLC</w:t>
      </w:r>
      <w:r w:rsidR="00AA1658">
        <w:t xml:space="preserve"> </w:t>
      </w:r>
      <w:r w:rsidR="00C73F6F">
        <w:t xml:space="preserve">(LEI) </w:t>
      </w:r>
      <w:r w:rsidR="00797A18">
        <w:t>that evaluates</w:t>
      </w:r>
      <w:r w:rsidR="00AA1658">
        <w:t xml:space="preserve"> demand for </w:t>
      </w:r>
      <w:r w:rsidR="00797A18">
        <w:t xml:space="preserve">firm natural gas transportation capacity on the Amended Project.  </w:t>
      </w:r>
      <w:r w:rsidR="0087550A">
        <w:t xml:space="preserve">Also on November 21, 2025, </w:t>
      </w:r>
      <w:r w:rsidR="001432B5">
        <w:t xml:space="preserve">the same entities, joined by other non-governmental organizations, </w:t>
      </w:r>
      <w:r w:rsidR="00B76F2F">
        <w:t xml:space="preserve">filed a protest, alleging that Mountain Valley has not </w:t>
      </w:r>
      <w:r w:rsidR="00E571DA">
        <w:t xml:space="preserve">sufficiently </w:t>
      </w:r>
      <w:r w:rsidR="00B76F2F">
        <w:t>demonstrated need for the Amend</w:t>
      </w:r>
      <w:r w:rsidR="00805099">
        <w:t>ment</w:t>
      </w:r>
      <w:r w:rsidR="00B76F2F">
        <w:t xml:space="preserve"> Project</w:t>
      </w:r>
      <w:r w:rsidR="00C73F6F">
        <w:t xml:space="preserve">, referencing in part the November 2025 LEI report. </w:t>
      </w:r>
      <w:r w:rsidR="009D488E">
        <w:t xml:space="preserve"> </w:t>
      </w:r>
      <w:r w:rsidR="003A7CD5" w:rsidRPr="003A7CD5">
        <w:t>On December 3, 2025, Mountain Valley, and on December 8, 2025, Duke Energy and PSNC filed answers to the protest and motion to lodge.</w:t>
      </w:r>
      <w:r w:rsidR="008838CE">
        <w:t xml:space="preserve">  </w:t>
      </w:r>
      <w:r w:rsidR="008838CE" w:rsidRPr="008838CE">
        <w:t xml:space="preserve">Subsequently, on December 16, 2025, </w:t>
      </w:r>
      <w:bookmarkStart w:id="1" w:name="_Hlk216792071"/>
      <w:r w:rsidR="008838CE" w:rsidRPr="008838CE">
        <w:t xml:space="preserve">Southern Alliance for Clean Energy and 7 Directions of Service </w:t>
      </w:r>
      <w:bookmarkEnd w:id="1"/>
      <w:r w:rsidR="008838CE" w:rsidRPr="008838CE">
        <w:t xml:space="preserve">filed a motion to lodge a report prepared by Greenlink Analytics and Science for Georgia </w:t>
      </w:r>
      <w:r w:rsidR="00A95234">
        <w:t>that examines</w:t>
      </w:r>
      <w:r w:rsidR="008838CE" w:rsidRPr="008838CE">
        <w:t xml:space="preserve"> the impacts of projected data center growth on power demand in the Southeast.</w:t>
      </w:r>
      <w:r w:rsidR="00D637B8">
        <w:t xml:space="preserve">  On December 17, 2025, Mountain Valley filed an answer to the motion to lodge.</w:t>
      </w:r>
    </w:p>
    <w:p w14:paraId="70080041" w14:textId="343525CB" w:rsidR="00602975" w:rsidRDefault="00085597" w:rsidP="008D383B">
      <w:pPr>
        <w:pStyle w:val="FERCparanumber"/>
      </w:pPr>
      <w:r>
        <w:t>The Nove</w:t>
      </w:r>
      <w:r w:rsidR="00D33E94">
        <w:t xml:space="preserve">mber 2025 LEI report </w:t>
      </w:r>
      <w:r w:rsidR="00852395">
        <w:t xml:space="preserve">and protest </w:t>
      </w:r>
      <w:r w:rsidR="00C25B7B">
        <w:t>w</w:t>
      </w:r>
      <w:r w:rsidR="00852395">
        <w:t>ere</w:t>
      </w:r>
      <w:r w:rsidR="00C25B7B">
        <w:t xml:space="preserve"> filed over 8 months after the close of the comment period established by the Notice of Application</w:t>
      </w:r>
      <w:r w:rsidR="00DC3935">
        <w:t>.</w:t>
      </w:r>
      <w:r w:rsidR="00492963">
        <w:rPr>
          <w:rStyle w:val="FootnoteReference"/>
        </w:rPr>
        <w:footnoteReference w:id="22"/>
      </w:r>
      <w:r w:rsidR="00950738">
        <w:t xml:space="preserve"> </w:t>
      </w:r>
      <w:r w:rsidR="00F3676B">
        <w:t xml:space="preserve"> </w:t>
      </w:r>
      <w:r w:rsidR="00950738">
        <w:t>T</w:t>
      </w:r>
      <w:r w:rsidR="00F3676B">
        <w:t xml:space="preserve">he </w:t>
      </w:r>
      <w:r w:rsidR="006D6C89">
        <w:t>movants</w:t>
      </w:r>
      <w:r w:rsidR="00F3676B">
        <w:t xml:space="preserve"> offer no </w:t>
      </w:r>
      <w:r w:rsidR="00C26121">
        <w:t>justification</w:t>
      </w:r>
      <w:r w:rsidR="00F3676B">
        <w:t xml:space="preserve"> </w:t>
      </w:r>
      <w:r w:rsidR="006D6C89">
        <w:t>for why their filing</w:t>
      </w:r>
      <w:r w:rsidR="00852395">
        <w:t>s</w:t>
      </w:r>
      <w:r w:rsidR="006D6C89">
        <w:t xml:space="preserve"> w</w:t>
      </w:r>
      <w:r w:rsidR="00852395">
        <w:t>ere</w:t>
      </w:r>
      <w:r w:rsidR="006D6C89">
        <w:t xml:space="preserve"> so </w:t>
      </w:r>
      <w:r w:rsidR="00CD1F63">
        <w:t>delayed</w:t>
      </w:r>
      <w:r w:rsidR="006D6C89">
        <w:t xml:space="preserve">.  </w:t>
      </w:r>
      <w:r w:rsidR="008838CE" w:rsidRPr="008838CE">
        <w:t xml:space="preserve">The December 2025 report </w:t>
      </w:r>
      <w:r w:rsidR="008838CE" w:rsidRPr="008838CE">
        <w:lastRenderedPageBreak/>
        <w:t xml:space="preserve">was filed </w:t>
      </w:r>
      <w:r w:rsidR="00E42A87">
        <w:t xml:space="preserve">even later, </w:t>
      </w:r>
      <w:r w:rsidR="008838CE" w:rsidRPr="008838CE">
        <w:t xml:space="preserve">over 9 months after the close of the comment period.  </w:t>
      </w:r>
      <w:r w:rsidR="000E0F5B">
        <w:t xml:space="preserve">Because the </w:t>
      </w:r>
      <w:r w:rsidR="00506F0D">
        <w:t>motion</w:t>
      </w:r>
      <w:r w:rsidR="008838CE">
        <w:t>s</w:t>
      </w:r>
      <w:r w:rsidR="00506F0D">
        <w:t xml:space="preserve"> w</w:t>
      </w:r>
      <w:r w:rsidR="008838CE">
        <w:t>ere</w:t>
      </w:r>
      <w:r w:rsidR="00506F0D">
        <w:t xml:space="preserve"> made at</w:t>
      </w:r>
      <w:r w:rsidR="00CE71AA">
        <w:t xml:space="preserve"> an </w:t>
      </w:r>
      <w:r w:rsidR="000E0F5B">
        <w:t>extreme</w:t>
      </w:r>
      <w:r w:rsidR="00CE71AA">
        <w:t>ly</w:t>
      </w:r>
      <w:r w:rsidR="000E0F5B">
        <w:t xml:space="preserve"> </w:t>
      </w:r>
      <w:r w:rsidR="00DE45BE">
        <w:t>late stage of the proceeding</w:t>
      </w:r>
      <w:r w:rsidR="000E0F5B">
        <w:t>, we deny the motion</w:t>
      </w:r>
      <w:r w:rsidR="008838CE">
        <w:t>s</w:t>
      </w:r>
      <w:r w:rsidR="000E0F5B">
        <w:t xml:space="preserve"> to lodge</w:t>
      </w:r>
      <w:r w:rsidR="00852395">
        <w:t xml:space="preserve"> and reject the protest</w:t>
      </w:r>
      <w:r w:rsidR="000E0F5B">
        <w:t xml:space="preserve">.  </w:t>
      </w:r>
      <w:r w:rsidR="00A818BB" w:rsidRPr="00A818BB">
        <w:t xml:space="preserve">Accordingly, we also do not consider the answers filed by Mountain Valley, Duke Energy, and PSNC. </w:t>
      </w:r>
      <w:r w:rsidR="00E571DA">
        <w:t xml:space="preserve"> </w:t>
      </w:r>
    </w:p>
    <w:p w14:paraId="44D89D37" w14:textId="3E042D41" w:rsidR="00725334" w:rsidRDefault="00F57BA8" w:rsidP="001978A3">
      <w:pPr>
        <w:pStyle w:val="Heading2"/>
      </w:pPr>
      <w:r>
        <w:t xml:space="preserve">New Certificate </w:t>
      </w:r>
      <w:r w:rsidR="003434D9">
        <w:t>Application</w:t>
      </w:r>
    </w:p>
    <w:p w14:paraId="75BA9AB6" w14:textId="27C19D58" w:rsidR="00C709E1" w:rsidRDefault="00E71EB9" w:rsidP="00F57BA8">
      <w:pPr>
        <w:pStyle w:val="FERCparanumber"/>
      </w:pPr>
      <w:r>
        <w:t xml:space="preserve">Various commenters argue that </w:t>
      </w:r>
      <w:r w:rsidR="004C3BC1">
        <w:t xml:space="preserve">Mountain Valley should be required to submit a new </w:t>
      </w:r>
      <w:r w:rsidR="0090189A">
        <w:t xml:space="preserve">application for a certificate of public convenience and necessity rather than </w:t>
      </w:r>
      <w:r w:rsidR="00C81104">
        <w:t xml:space="preserve">be allowed to </w:t>
      </w:r>
      <w:r w:rsidR="0090189A">
        <w:t xml:space="preserve">amend its existing certificate.  These commenters </w:t>
      </w:r>
      <w:r w:rsidR="00B16FFC">
        <w:t xml:space="preserve">argue that the </w:t>
      </w:r>
      <w:r w:rsidR="00777CB0">
        <w:t>Amendment</w:t>
      </w:r>
      <w:r w:rsidR="00B16FFC">
        <w:t xml:space="preserve"> Project represents a “substantial </w:t>
      </w:r>
      <w:r w:rsidR="00722EDC">
        <w:t>departure from the Southgate Projec</w:t>
      </w:r>
      <w:r w:rsidR="00EB7636">
        <w:t>t” due to the</w:t>
      </w:r>
      <w:r w:rsidR="00936C23">
        <w:t xml:space="preserve"> larger</w:t>
      </w:r>
      <w:r w:rsidR="0090189A">
        <w:t xml:space="preserve"> diameter </w:t>
      </w:r>
      <w:r w:rsidR="00EB7636">
        <w:t>pipe</w:t>
      </w:r>
      <w:r w:rsidR="00BB3D0F">
        <w:t xml:space="preserve"> and the corresponding increase</w:t>
      </w:r>
      <w:r w:rsidR="000E6298">
        <w:t xml:space="preserve"> in</w:t>
      </w:r>
      <w:r w:rsidR="00BB3D0F">
        <w:t xml:space="preserve"> capacity.</w:t>
      </w:r>
      <w:r w:rsidR="000E6298">
        <w:rPr>
          <w:rStyle w:val="FootnoteReference"/>
        </w:rPr>
        <w:footnoteReference w:id="23"/>
      </w:r>
      <w:r w:rsidR="00BB3D0F">
        <w:t xml:space="preserve">  </w:t>
      </w:r>
      <w:r w:rsidR="008A5B38">
        <w:t>Mountain</w:t>
      </w:r>
      <w:r w:rsidR="00BB3D0F">
        <w:t xml:space="preserve"> Valley responds that </w:t>
      </w:r>
      <w:r w:rsidR="00CD6C36">
        <w:t xml:space="preserve">the </w:t>
      </w:r>
      <w:r w:rsidR="00777CB0">
        <w:t>Amendment</w:t>
      </w:r>
      <w:r w:rsidR="00E761F4">
        <w:t xml:space="preserve"> P</w:t>
      </w:r>
      <w:r w:rsidR="00CD6C36">
        <w:t xml:space="preserve">roject is not markedly different from the </w:t>
      </w:r>
      <w:r w:rsidR="00B62E2D">
        <w:t>originally certificated p</w:t>
      </w:r>
      <w:r w:rsidR="00FA1073">
        <w:t xml:space="preserve">roject </w:t>
      </w:r>
      <w:r w:rsidR="00605C72">
        <w:t xml:space="preserve">except that </w:t>
      </w:r>
      <w:r w:rsidR="00E761F4">
        <w:t>it</w:t>
      </w:r>
      <w:r w:rsidR="00605C72">
        <w:t xml:space="preserve"> </w:t>
      </w:r>
      <w:r w:rsidR="0026235D">
        <w:t>reduce</w:t>
      </w:r>
      <w:r w:rsidR="003879FE">
        <w:t>s</w:t>
      </w:r>
      <w:r w:rsidR="0026235D">
        <w:t xml:space="preserve"> </w:t>
      </w:r>
      <w:r w:rsidR="00E761F4">
        <w:t xml:space="preserve">the </w:t>
      </w:r>
      <w:r w:rsidR="0026235D">
        <w:t xml:space="preserve">scope and impacts </w:t>
      </w:r>
      <w:r w:rsidR="009D7FD7">
        <w:t xml:space="preserve">of the project by </w:t>
      </w:r>
      <w:r w:rsidR="008A5B38">
        <w:t>eliminating</w:t>
      </w:r>
      <w:r w:rsidR="0026235D">
        <w:t xml:space="preserve"> </w:t>
      </w:r>
      <w:r w:rsidR="00C709E1">
        <w:t>nearly 44</w:t>
      </w:r>
      <w:r w:rsidR="0026235D">
        <w:t xml:space="preserve"> miles of </w:t>
      </w:r>
      <w:r w:rsidR="008A5B38">
        <w:t>pipeline</w:t>
      </w:r>
      <w:r w:rsidR="0026235D">
        <w:t xml:space="preserve"> </w:t>
      </w:r>
      <w:r w:rsidR="007129B3">
        <w:t xml:space="preserve">and a compressor station.  It maintains that what remains is </w:t>
      </w:r>
      <w:r w:rsidR="009D7FD7">
        <w:t>“substantially identical to the Certificated Project.”</w:t>
      </w:r>
      <w:r w:rsidR="009D7FD7">
        <w:rPr>
          <w:rStyle w:val="FootnoteReference"/>
        </w:rPr>
        <w:footnoteReference w:id="24"/>
      </w:r>
      <w:r w:rsidR="009D7FD7">
        <w:t xml:space="preserve">  </w:t>
      </w:r>
    </w:p>
    <w:p w14:paraId="4708BB4D" w14:textId="1AB96546" w:rsidR="00F57BA8" w:rsidRPr="00F57BA8" w:rsidRDefault="006637B7" w:rsidP="00F57BA8">
      <w:pPr>
        <w:pStyle w:val="FERCparanumber"/>
      </w:pPr>
      <w:r>
        <w:t xml:space="preserve">Section 16 of the NGA </w:t>
      </w:r>
      <w:r w:rsidR="00B43D4B">
        <w:t>provides the Commission with broad authority to amend its orders</w:t>
      </w:r>
      <w:r w:rsidR="00204F2E">
        <w:t>.</w:t>
      </w:r>
      <w:r w:rsidR="00467DB1">
        <w:rPr>
          <w:rStyle w:val="FootnoteReference"/>
        </w:rPr>
        <w:footnoteReference w:id="25"/>
      </w:r>
      <w:r w:rsidR="00B635D0">
        <w:t xml:space="preserve">  </w:t>
      </w:r>
      <w:r w:rsidR="00CD5120">
        <w:t>As noted above, w</w:t>
      </w:r>
      <w:r w:rsidR="00CD5120" w:rsidRPr="006936BE">
        <w:t>ith</w:t>
      </w:r>
      <w:r w:rsidR="00CD5120">
        <w:t xml:space="preserve"> the exception of</w:t>
      </w:r>
      <w:r w:rsidR="00CD5120" w:rsidRPr="006936BE">
        <w:t xml:space="preserve"> minor deviations, </w:t>
      </w:r>
      <w:r w:rsidR="00CD5120">
        <w:t>the Amendment Project</w:t>
      </w:r>
      <w:r w:rsidR="00CD5120" w:rsidRPr="006936BE">
        <w:t xml:space="preserve"> follows the same route and is </w:t>
      </w:r>
      <w:r w:rsidR="00CD5120">
        <w:t xml:space="preserve">largely </w:t>
      </w:r>
      <w:r w:rsidR="00CD5120" w:rsidRPr="006936BE">
        <w:t xml:space="preserve">within the same footprint as the </w:t>
      </w:r>
      <w:r w:rsidR="00CD5120">
        <w:t>previously certificated</w:t>
      </w:r>
      <w:r w:rsidR="00CD5120" w:rsidRPr="006936BE">
        <w:t xml:space="preserve"> </w:t>
      </w:r>
      <w:r w:rsidR="00CD5120">
        <w:t>p</w:t>
      </w:r>
      <w:r w:rsidR="00CD5120" w:rsidRPr="006936BE">
        <w:t>roject</w:t>
      </w:r>
      <w:r w:rsidR="00CD5120">
        <w:t>.</w:t>
      </w:r>
      <w:r w:rsidR="00CD5120">
        <w:rPr>
          <w:rStyle w:val="FootnoteReference"/>
        </w:rPr>
        <w:footnoteReference w:id="26"/>
      </w:r>
      <w:r w:rsidR="00CD5120">
        <w:t xml:space="preserve">  </w:t>
      </w:r>
      <w:r w:rsidR="00B635D0">
        <w:t xml:space="preserve">Here, </w:t>
      </w:r>
      <w:r w:rsidR="00BD641F">
        <w:t>we</w:t>
      </w:r>
      <w:r w:rsidR="00B635D0">
        <w:t xml:space="preserve"> </w:t>
      </w:r>
      <w:r w:rsidR="002838D2">
        <w:t>reasonably</w:t>
      </w:r>
      <w:r w:rsidR="00B635D0">
        <w:t xml:space="preserve"> scale </w:t>
      </w:r>
      <w:r w:rsidR="00BD641F">
        <w:t>our</w:t>
      </w:r>
      <w:r w:rsidR="00B635D0">
        <w:t xml:space="preserve"> </w:t>
      </w:r>
      <w:r w:rsidR="0077626A">
        <w:t>analysis</w:t>
      </w:r>
      <w:r w:rsidR="00B635D0">
        <w:t xml:space="preserve"> to the scope of </w:t>
      </w:r>
      <w:r w:rsidR="00AF51A6">
        <w:t>amendment</w:t>
      </w:r>
      <w:r w:rsidR="00FD72B8">
        <w:t xml:space="preserve">.  </w:t>
      </w:r>
      <w:r w:rsidR="009D048A">
        <w:t>The order is supported by a</w:t>
      </w:r>
      <w:r w:rsidR="00FD72B8">
        <w:t xml:space="preserve"> new certificate policy </w:t>
      </w:r>
      <w:r w:rsidR="00E805B1">
        <w:t xml:space="preserve">statement </w:t>
      </w:r>
      <w:r w:rsidR="00FD72B8">
        <w:t>an</w:t>
      </w:r>
      <w:r w:rsidR="00D7033B">
        <w:t>alysis</w:t>
      </w:r>
      <w:r w:rsidR="009D048A">
        <w:t xml:space="preserve"> a</w:t>
      </w:r>
      <w:r w:rsidR="008038B8">
        <w:t>nd</w:t>
      </w:r>
      <w:r w:rsidR="00B84C7B">
        <w:t xml:space="preserve"> </w:t>
      </w:r>
      <w:r w:rsidR="00144C72">
        <w:t>environmental</w:t>
      </w:r>
      <w:r w:rsidR="00B84C7B">
        <w:t xml:space="preserve"> review</w:t>
      </w:r>
      <w:r w:rsidR="00456786">
        <w:t xml:space="preserve"> t</w:t>
      </w:r>
      <w:r w:rsidR="00E80AA7">
        <w:t>hat</w:t>
      </w:r>
      <w:r w:rsidR="008038B8">
        <w:t xml:space="preserve"> </w:t>
      </w:r>
      <w:r w:rsidR="00D21126">
        <w:t>analyzed</w:t>
      </w:r>
      <w:r w:rsidR="001A439A">
        <w:t xml:space="preserve"> all</w:t>
      </w:r>
      <w:r w:rsidR="00F6156A">
        <w:t xml:space="preserve"> environmental</w:t>
      </w:r>
      <w:r w:rsidR="001A439A">
        <w:t xml:space="preserve"> impacts not</w:t>
      </w:r>
      <w:r w:rsidR="000B3D4C">
        <w:t xml:space="preserve"> previously</w:t>
      </w:r>
      <w:r w:rsidR="001A439A">
        <w:t xml:space="preserve"> considered.</w:t>
      </w:r>
      <w:r w:rsidR="00A53BBA">
        <w:t xml:space="preserve"> </w:t>
      </w:r>
      <w:r w:rsidR="00F979E1">
        <w:t xml:space="preserve"> There was the same </w:t>
      </w:r>
      <w:r w:rsidR="00353A5D">
        <w:t xml:space="preserve">level of </w:t>
      </w:r>
      <w:r w:rsidR="003E422D">
        <w:t>notic</w:t>
      </w:r>
      <w:r w:rsidR="00353A5D">
        <w:t xml:space="preserve">e and opportunity for comment as if this had been a new </w:t>
      </w:r>
      <w:r w:rsidR="00D87052">
        <w:t xml:space="preserve">certificate application. </w:t>
      </w:r>
      <w:r w:rsidR="00A50F84">
        <w:t xml:space="preserve"> C</w:t>
      </w:r>
      <w:r w:rsidR="00A50F84" w:rsidRPr="00E55177">
        <w:t>omment</w:t>
      </w:r>
      <w:r w:rsidR="00E4088F">
        <w:t>e</w:t>
      </w:r>
      <w:r w:rsidR="00A50F84" w:rsidRPr="00E55177">
        <w:t>rs do</w:t>
      </w:r>
      <w:r w:rsidR="00A50F84">
        <w:t xml:space="preserve"> not</w:t>
      </w:r>
      <w:r w:rsidR="00A50F84" w:rsidRPr="00E55177">
        <w:t xml:space="preserve"> point to any way that the amendment proceeding curtailed due process</w:t>
      </w:r>
      <w:r w:rsidR="00A50F84">
        <w:t xml:space="preserve">.  </w:t>
      </w:r>
      <w:r w:rsidR="006936BE">
        <w:t xml:space="preserve"> </w:t>
      </w:r>
    </w:p>
    <w:p w14:paraId="6B2F0F2D" w14:textId="6E041E9C" w:rsidR="00572F8B" w:rsidRDefault="009406EB" w:rsidP="00572F8B">
      <w:pPr>
        <w:pStyle w:val="Heading1"/>
      </w:pPr>
      <w:r>
        <w:lastRenderedPageBreak/>
        <w:t>Discussion</w:t>
      </w:r>
    </w:p>
    <w:p w14:paraId="28970D43" w14:textId="054C7054" w:rsidR="009406EB" w:rsidRPr="009406EB" w:rsidRDefault="009406EB" w:rsidP="004C0B34">
      <w:pPr>
        <w:pStyle w:val="FERCparanumber"/>
      </w:pPr>
      <w:r w:rsidRPr="00540DCD">
        <w:t xml:space="preserve">Because </w:t>
      </w:r>
      <w:r>
        <w:t>Mountain Valley’s</w:t>
      </w:r>
      <w:r w:rsidRPr="00540DCD">
        <w:t xml:space="preserve"> </w:t>
      </w:r>
      <w:r w:rsidR="00F97BDE">
        <w:t xml:space="preserve">requested changes require amending the </w:t>
      </w:r>
      <w:r w:rsidR="00781BD5">
        <w:t>Certificate</w:t>
      </w:r>
      <w:r w:rsidR="00F97BDE">
        <w:t xml:space="preserve"> Order</w:t>
      </w:r>
      <w:r w:rsidR="00781BD5">
        <w:t>, the request</w:t>
      </w:r>
      <w:r w:rsidR="00665DC1">
        <w:t>s</w:t>
      </w:r>
      <w:r w:rsidR="00781BD5">
        <w:t xml:space="preserve"> are </w:t>
      </w:r>
      <w:r w:rsidRPr="00540DCD">
        <w:t>subject to the requirements of NGA section 7, subsections (c)</w:t>
      </w:r>
      <w:r>
        <w:t xml:space="preserve"> and (e).</w:t>
      </w:r>
      <w:r w:rsidRPr="00540DCD">
        <w:rPr>
          <w:rStyle w:val="FootnoteReference"/>
        </w:rPr>
        <w:footnoteReference w:id="27"/>
      </w:r>
    </w:p>
    <w:p w14:paraId="7F86F8D4" w14:textId="4B20B1C2" w:rsidR="00EC6BA4" w:rsidRDefault="00EC6BA4" w:rsidP="00EC6BA4">
      <w:pPr>
        <w:pStyle w:val="Heading2"/>
      </w:pPr>
      <w:r>
        <w:t>Certificate Policy Statement</w:t>
      </w:r>
    </w:p>
    <w:p w14:paraId="0F64E2BE" w14:textId="77777777" w:rsidR="00D060D2" w:rsidRPr="00540DCD" w:rsidRDefault="00D060D2" w:rsidP="00D060D2">
      <w:pPr>
        <w:pStyle w:val="FERCparanumber"/>
      </w:pPr>
      <w:bookmarkStart w:id="2" w:name="_Hlk141028701"/>
      <w:r w:rsidRPr="00540DCD">
        <w:t>The Certificate Policy Statement provides guidance for evaluating proposals to certificate new construction.</w:t>
      </w:r>
      <w:r w:rsidRPr="00540DCD">
        <w:rPr>
          <w:rStyle w:val="FootnoteReference"/>
        </w:rPr>
        <w:footnoteReference w:id="28"/>
      </w:r>
      <w:r w:rsidRPr="00540DCD">
        <w:t xml:space="preserve">  The Certificate Policy Statement establishes criteria for determining whether there is a need for a proposed project and whether the proposed project will serve the public interest.  It explains that, in deciding whether and under </w:t>
      </w:r>
      <w:r>
        <w:t xml:space="preserve"> </w:t>
      </w:r>
      <w:r w:rsidRPr="00540DCD">
        <w:t>what terms to authorize the construction of new pipeline facilities, the Commission balances public benefits against potential adverse consequences.  The Commission’s goal is to appropriately consider the enhancement of competitive transportation alternatives, the possibility of overbuilding, subsidization by existing customers, the applicant’s responsibility for unsubscribed capacity, the avoidance of unnecessary disruptions of the environment, and the unneeded exercise of eminent domain in evaluating new pipeline construction.</w:t>
      </w:r>
    </w:p>
    <w:p w14:paraId="7655FBBA" w14:textId="58BF8246" w:rsidR="00D060D2" w:rsidRDefault="00D060D2" w:rsidP="00D060D2">
      <w:pPr>
        <w:pStyle w:val="FERCparanumber"/>
      </w:pPr>
      <w:r w:rsidRPr="00540DCD">
        <w:t xml:space="preserve">Under this policy, the threshold requirement for an applicant proposing </w:t>
      </w:r>
      <w:r>
        <w:t xml:space="preserve">a </w:t>
      </w:r>
      <w:r w:rsidRPr="00540DCD">
        <w:t>new project is that the applicant must be prepared to financially support the project without relying on subsidization from its existing customers.  The next step is to determine whether the applicant has made efforts to eliminate or minimize any adverse effects the project might have on the applicant’s existing customers, existing pipelines in the market and their captive customers, and landowners and communities affected by the route of the new pipeline facilities.  If residual adverse effects on these interest groups are identified after efforts have been made to minimize them, the Commission will evaluate the project by balancing the evidence of public benefits to be achieved against the residual adverse effects.  This is essentially an economic test.  Only when the benefits outweigh the adverse effects on economic interests will the Commission proceed to complete the environmental analysis, where other interests are considered.</w:t>
      </w:r>
      <w:bookmarkEnd w:id="2"/>
    </w:p>
    <w:p w14:paraId="0FC517C0" w14:textId="77777777" w:rsidR="003E71DA" w:rsidRDefault="003E71DA" w:rsidP="003E71DA">
      <w:pPr>
        <w:pStyle w:val="Heading3"/>
      </w:pPr>
      <w:r w:rsidRPr="00540DCD">
        <w:t>No Subsidy Requirement</w:t>
      </w:r>
    </w:p>
    <w:p w14:paraId="6278EA94" w14:textId="5A01A4D4" w:rsidR="00417F05" w:rsidRPr="00417F05" w:rsidRDefault="00325F7D" w:rsidP="00417F05">
      <w:pPr>
        <w:pStyle w:val="FERCparanumber"/>
        <w:spacing w:after="240"/>
        <w:rPr>
          <w:szCs w:val="26"/>
        </w:rPr>
      </w:pPr>
      <w:r w:rsidRPr="00ED07B5">
        <w:t xml:space="preserve">As </w:t>
      </w:r>
      <w:r>
        <w:t>discussed above</w:t>
      </w:r>
      <w:r w:rsidRPr="00ED07B5">
        <w:t xml:space="preserve">, the threshold requirement is that the applicant must be prepared to financially support the project without relying on subsidization from its </w:t>
      </w:r>
      <w:r w:rsidRPr="00ED07B5">
        <w:lastRenderedPageBreak/>
        <w:t xml:space="preserve">existing customers.  </w:t>
      </w:r>
      <w:r w:rsidR="00E35DFE">
        <w:t>The Certificate Order</w:t>
      </w:r>
      <w:r w:rsidR="005361A8">
        <w:t xml:space="preserve"> found that “once operation of the Mainline System commences, </w:t>
      </w:r>
      <w:r w:rsidR="005361A8" w:rsidRPr="00ED07B5">
        <w:t xml:space="preserve">there </w:t>
      </w:r>
      <w:r w:rsidR="005361A8">
        <w:t>would be</w:t>
      </w:r>
      <w:r w:rsidR="005361A8" w:rsidRPr="00ED07B5">
        <w:t xml:space="preserve"> no </w:t>
      </w:r>
      <w:r w:rsidR="005361A8">
        <w:t>risk</w:t>
      </w:r>
      <w:r w:rsidR="005361A8" w:rsidRPr="00ED07B5">
        <w:t xml:space="preserve"> </w:t>
      </w:r>
      <w:r w:rsidR="005361A8">
        <w:t>that existing Mainline System customers would be subsidizing service on the Southgate Project</w:t>
      </w:r>
      <w:r w:rsidR="00DC46A1">
        <w:t>.</w:t>
      </w:r>
      <w:r w:rsidR="00946A7F">
        <w:t>”</w:t>
      </w:r>
      <w:r w:rsidR="00946A7F">
        <w:rPr>
          <w:rStyle w:val="FootnoteReference"/>
        </w:rPr>
        <w:footnoteReference w:id="29"/>
      </w:r>
      <w:r w:rsidR="00273A41">
        <w:t xml:space="preserve">  </w:t>
      </w:r>
      <w:r w:rsidR="00D97997">
        <w:t>The Commission</w:t>
      </w:r>
      <w:r w:rsidR="003D52E8">
        <w:t xml:space="preserve"> explained </w:t>
      </w:r>
      <w:r w:rsidR="005F423F">
        <w:t xml:space="preserve">that </w:t>
      </w:r>
      <w:r>
        <w:t xml:space="preserve">Mountain Valley </w:t>
      </w:r>
      <w:r w:rsidR="00E66704">
        <w:t>would</w:t>
      </w:r>
      <w:r>
        <w:t xml:space="preserve"> establish a separate rate zone for service on the Southgate Project</w:t>
      </w:r>
      <w:r w:rsidR="00002069">
        <w:t>, which</w:t>
      </w:r>
      <w:r w:rsidR="00E66704">
        <w:t xml:space="preserve"> </w:t>
      </w:r>
      <w:r w:rsidR="00794454">
        <w:t>would</w:t>
      </w:r>
      <w:r>
        <w:t xml:space="preserve"> ensure that the cost of the project, and the risks inherent in it, </w:t>
      </w:r>
      <w:r w:rsidR="00257E75">
        <w:t>would be</w:t>
      </w:r>
      <w:r>
        <w:t xml:space="preserve"> borne by Mountain Valley and the Southgate Project customers, and not </w:t>
      </w:r>
      <w:r w:rsidR="00002069">
        <w:t>the</w:t>
      </w:r>
      <w:r>
        <w:t xml:space="preserve"> Mainline System customers.</w:t>
      </w:r>
      <w:r w:rsidR="00F237B9">
        <w:rPr>
          <w:rStyle w:val="FootnoteReference"/>
        </w:rPr>
        <w:footnoteReference w:id="30"/>
      </w:r>
      <w:r>
        <w:t xml:space="preserve">  </w:t>
      </w:r>
      <w:r w:rsidR="00794454">
        <w:t xml:space="preserve">Mountain Valley </w:t>
      </w:r>
      <w:r w:rsidR="00322127">
        <w:t>p</w:t>
      </w:r>
      <w:r w:rsidR="00794454">
        <w:t>roposes</w:t>
      </w:r>
      <w:r w:rsidR="00F915C3">
        <w:t xml:space="preserve"> no changes to the approved rate zone for the </w:t>
      </w:r>
      <w:r w:rsidR="00777CB0">
        <w:t>Amendment</w:t>
      </w:r>
      <w:r w:rsidR="00F915C3">
        <w:t xml:space="preserve"> Project</w:t>
      </w:r>
      <w:r w:rsidR="00B24F4F">
        <w:t>.</w:t>
      </w:r>
      <w:r w:rsidR="00361D13">
        <w:rPr>
          <w:rStyle w:val="FootnoteReference"/>
        </w:rPr>
        <w:footnoteReference w:id="31"/>
      </w:r>
      <w:r w:rsidR="00B24F4F">
        <w:t xml:space="preserve">  Accordingly, </w:t>
      </w:r>
      <w:r w:rsidR="00322127">
        <w:t xml:space="preserve">the </w:t>
      </w:r>
      <w:r w:rsidR="00E51A48">
        <w:t xml:space="preserve">reasoning in the Certificate Order holds here and </w:t>
      </w:r>
      <w:r w:rsidR="00B24F4F">
        <w:t xml:space="preserve">we similarly find that </w:t>
      </w:r>
      <w:r w:rsidRPr="00ED07B5">
        <w:t xml:space="preserve">there </w:t>
      </w:r>
      <w:r w:rsidR="00D64F13">
        <w:t>is</w:t>
      </w:r>
      <w:r w:rsidRPr="00ED07B5">
        <w:t xml:space="preserve"> no </w:t>
      </w:r>
      <w:r>
        <w:t>risk</w:t>
      </w:r>
      <w:r w:rsidRPr="00ED07B5">
        <w:t xml:space="preserve"> </w:t>
      </w:r>
      <w:r>
        <w:t>that existing Mainline System customers w</w:t>
      </w:r>
      <w:r w:rsidR="00D64F13">
        <w:t>ill</w:t>
      </w:r>
      <w:r>
        <w:t xml:space="preserve"> subsidiz</w:t>
      </w:r>
      <w:r w:rsidR="00D64F13">
        <w:t>e</w:t>
      </w:r>
      <w:r>
        <w:t xml:space="preserve"> service on the Southgate Project</w:t>
      </w:r>
      <w:r w:rsidR="003E5FBD">
        <w:t>.</w:t>
      </w:r>
      <w:r w:rsidR="003E5FBD" w:rsidRPr="00417F05">
        <w:rPr>
          <w:szCs w:val="26"/>
        </w:rPr>
        <w:t xml:space="preserve"> </w:t>
      </w:r>
    </w:p>
    <w:p w14:paraId="53CC1C7C" w14:textId="77777777" w:rsidR="00417F05" w:rsidRDefault="00417F05" w:rsidP="00417F05">
      <w:pPr>
        <w:pStyle w:val="Heading3"/>
      </w:pPr>
      <w:r w:rsidRPr="00540DCD">
        <w:t>Project Need</w:t>
      </w:r>
    </w:p>
    <w:p w14:paraId="147F6339" w14:textId="417AB256" w:rsidR="00440ED4" w:rsidRDefault="00CE1E9D" w:rsidP="00440ED4">
      <w:pPr>
        <w:pStyle w:val="FERCparanumber"/>
      </w:pPr>
      <w:r>
        <w:t>Mountain Valley</w:t>
      </w:r>
      <w:r w:rsidRPr="00CE1E9D">
        <w:t xml:space="preserve"> has entered long-term precedent agreements with shippers for 100% of the project’s capacity.  </w:t>
      </w:r>
    </w:p>
    <w:p w14:paraId="13A0E7E1" w14:textId="3A6FBC09" w:rsidR="003370D1" w:rsidRDefault="00F079BC">
      <w:pPr>
        <w:pStyle w:val="FERCparanumber"/>
      </w:pPr>
      <w:r>
        <w:t xml:space="preserve">Mountain Valley </w:t>
      </w:r>
      <w:r w:rsidR="00AE7391">
        <w:t>argues that market need for the project has only grown</w:t>
      </w:r>
      <w:r w:rsidR="00F25C2A">
        <w:t xml:space="preserve"> since the Commission issued the Certificate </w:t>
      </w:r>
      <w:r w:rsidR="00D06392">
        <w:t>O</w:t>
      </w:r>
      <w:r w:rsidR="00F25C2A">
        <w:t>rder</w:t>
      </w:r>
      <w:r w:rsidR="008242B1">
        <w:t>, noting that</w:t>
      </w:r>
      <w:r w:rsidR="00E0118C">
        <w:t xml:space="preserve"> </w:t>
      </w:r>
      <w:r w:rsidR="00B202EF">
        <w:t xml:space="preserve">the open season for the </w:t>
      </w:r>
      <w:r w:rsidR="00777CB0">
        <w:t>Amendment</w:t>
      </w:r>
      <w:r w:rsidR="00B202EF">
        <w:t xml:space="preserve"> Project </w:t>
      </w:r>
      <w:r w:rsidR="00016BB9">
        <w:t>resul</w:t>
      </w:r>
      <w:r w:rsidR="00E12FA1">
        <w:t>ted in prece</w:t>
      </w:r>
      <w:r w:rsidR="00DA7865">
        <w:t>d</w:t>
      </w:r>
      <w:r w:rsidR="00E12FA1">
        <w:t>ent agreements for 550,000</w:t>
      </w:r>
      <w:r w:rsidR="00DA7865">
        <w:t xml:space="preserve"> </w:t>
      </w:r>
      <w:r w:rsidR="00E12FA1">
        <w:t xml:space="preserve">Dth/d of firm transportation </w:t>
      </w:r>
      <w:r w:rsidR="00DA7865">
        <w:t xml:space="preserve">capacity as compared to 300,000 Dth/d for the </w:t>
      </w:r>
      <w:r w:rsidR="008242B1">
        <w:t>originally c</w:t>
      </w:r>
      <w:r w:rsidR="00DA7865">
        <w:t xml:space="preserve">ertificated </w:t>
      </w:r>
      <w:r w:rsidR="008242B1">
        <w:t>p</w:t>
      </w:r>
      <w:r w:rsidR="00DA7865">
        <w:t>roject.</w:t>
      </w:r>
      <w:r w:rsidR="00A06AB6">
        <w:t xml:space="preserve">  </w:t>
      </w:r>
      <w:r w:rsidR="00372CC0">
        <w:t xml:space="preserve">It </w:t>
      </w:r>
      <w:r w:rsidR="006B0F66">
        <w:t xml:space="preserve">states </w:t>
      </w:r>
      <w:r w:rsidR="00372CC0">
        <w:t>that the</w:t>
      </w:r>
      <w:r w:rsidR="00372CC0" w:rsidRPr="00372CC0">
        <w:t xml:space="preserve"> North Carolina Utilities Commissio</w:t>
      </w:r>
      <w:r w:rsidR="00372CC0">
        <w:t>n</w:t>
      </w:r>
      <w:r w:rsidR="00053C1B">
        <w:t xml:space="preserve"> has expressed support for the</w:t>
      </w:r>
      <w:r w:rsidR="00372CC0" w:rsidRPr="00372CC0">
        <w:t xml:space="preserve"> </w:t>
      </w:r>
      <w:r w:rsidR="005A377B">
        <w:t>shippers</w:t>
      </w:r>
      <w:r w:rsidR="00DA2CE7">
        <w:t>’</w:t>
      </w:r>
      <w:r w:rsidR="00440ED4">
        <w:t xml:space="preserve"> </w:t>
      </w:r>
      <w:r w:rsidR="000601AE">
        <w:t>acquisition</w:t>
      </w:r>
      <w:r w:rsidR="00053C1B">
        <w:t xml:space="preserve"> of </w:t>
      </w:r>
      <w:r w:rsidR="000601AE">
        <w:t>incr</w:t>
      </w:r>
      <w:r w:rsidR="00372CC0" w:rsidRPr="00372CC0">
        <w:t xml:space="preserve">emental transportation </w:t>
      </w:r>
      <w:r w:rsidR="00CD27E8">
        <w:t>and tha</w:t>
      </w:r>
      <w:r w:rsidR="008366AC">
        <w:t>t</w:t>
      </w:r>
      <w:r w:rsidR="001F67F5">
        <w:t xml:space="preserve"> t</w:t>
      </w:r>
      <w:r w:rsidR="00896B84" w:rsidRPr="00896B84">
        <w:t xml:space="preserve">he </w:t>
      </w:r>
      <w:r w:rsidR="00777CB0">
        <w:t>Amendment</w:t>
      </w:r>
      <w:r w:rsidR="00896B84" w:rsidRPr="00896B84">
        <w:t xml:space="preserve"> Project offers the most efficient and cost-effective way to meet </w:t>
      </w:r>
      <w:r w:rsidR="008366AC">
        <w:t>increasing deman</w:t>
      </w:r>
      <w:r w:rsidR="00567523">
        <w:t>d</w:t>
      </w:r>
      <w:r w:rsidR="00896B84" w:rsidRPr="00896B84">
        <w:t>, enhance reliability</w:t>
      </w:r>
      <w:r w:rsidR="00567523">
        <w:t>,</w:t>
      </w:r>
      <w:r w:rsidR="00896B84" w:rsidRPr="00896B84">
        <w:t xml:space="preserve"> and </w:t>
      </w:r>
      <w:r w:rsidR="00567523">
        <w:t>increase supply diversity.</w:t>
      </w:r>
      <w:r w:rsidR="00EB3A17">
        <w:rPr>
          <w:rStyle w:val="FootnoteReference"/>
        </w:rPr>
        <w:footnoteReference w:id="32"/>
      </w:r>
    </w:p>
    <w:p w14:paraId="2FA32BB6" w14:textId="2D1E94AF" w:rsidR="00B80D6B" w:rsidRDefault="00982A63" w:rsidP="00982A63">
      <w:pPr>
        <w:pStyle w:val="FERCparanumber"/>
      </w:pPr>
      <w:r>
        <w:t xml:space="preserve">Commenters in support of the </w:t>
      </w:r>
      <w:r w:rsidR="00777CB0">
        <w:t>Amendment</w:t>
      </w:r>
      <w:r>
        <w:t xml:space="preserve"> Project argue that the project’s added capacity is needed to meet future demand in the region</w:t>
      </w:r>
      <w:r w:rsidR="0037221A">
        <w:t xml:space="preserve"> and</w:t>
      </w:r>
      <w:r w:rsidR="00B80D6B">
        <w:t xml:space="preserve"> to</w:t>
      </w:r>
      <w:r w:rsidR="0037221A">
        <w:t xml:space="preserve"> enhance reliability and economic development</w:t>
      </w:r>
      <w:r>
        <w:t>.</w:t>
      </w:r>
      <w:r>
        <w:rPr>
          <w:rStyle w:val="FootnoteReference"/>
        </w:rPr>
        <w:footnoteReference w:id="33"/>
      </w:r>
      <w:r>
        <w:t xml:space="preserve">  </w:t>
      </w:r>
    </w:p>
    <w:p w14:paraId="25124436" w14:textId="2E6FF153" w:rsidR="00982A63" w:rsidRPr="00B80D6B" w:rsidRDefault="00982A63" w:rsidP="00982A63">
      <w:pPr>
        <w:pStyle w:val="FERCparanumber"/>
      </w:pPr>
      <w:r w:rsidRPr="00BC7A48">
        <w:rPr>
          <w:szCs w:val="26"/>
        </w:rPr>
        <w:lastRenderedPageBreak/>
        <w:t>Du</w:t>
      </w:r>
      <w:r>
        <w:rPr>
          <w:szCs w:val="26"/>
        </w:rPr>
        <w:t>ke Energy, a project shipper, states that t</w:t>
      </w:r>
      <w:r w:rsidRPr="006217ED">
        <w:rPr>
          <w:szCs w:val="26"/>
        </w:rPr>
        <w:t xml:space="preserve">he </w:t>
      </w:r>
      <w:r>
        <w:rPr>
          <w:szCs w:val="26"/>
        </w:rPr>
        <w:t>p</w:t>
      </w:r>
      <w:r w:rsidRPr="006217ED">
        <w:rPr>
          <w:szCs w:val="26"/>
        </w:rPr>
        <w:t xml:space="preserve">roject addresses a significant market need and is a critical piece of </w:t>
      </w:r>
      <w:r>
        <w:rPr>
          <w:szCs w:val="26"/>
        </w:rPr>
        <w:t>its</w:t>
      </w:r>
      <w:r w:rsidRPr="006217ED">
        <w:rPr>
          <w:szCs w:val="26"/>
        </w:rPr>
        <w:t xml:space="preserve"> natural gas transportation strategy.</w:t>
      </w:r>
      <w:r>
        <w:rPr>
          <w:rStyle w:val="FootnoteReference"/>
          <w:szCs w:val="26"/>
        </w:rPr>
        <w:footnoteReference w:id="34"/>
      </w:r>
      <w:r w:rsidRPr="006217ED">
        <w:rPr>
          <w:szCs w:val="26"/>
        </w:rPr>
        <w:t xml:space="preserve"> </w:t>
      </w:r>
      <w:r>
        <w:rPr>
          <w:szCs w:val="26"/>
        </w:rPr>
        <w:t xml:space="preserve"> Duke Energy states that</w:t>
      </w:r>
      <w:r w:rsidR="00B8559B">
        <w:rPr>
          <w:szCs w:val="26"/>
        </w:rPr>
        <w:t>,</w:t>
      </w:r>
      <w:r>
        <w:rPr>
          <w:szCs w:val="26"/>
        </w:rPr>
        <w:t xml:space="preserve"> u</w:t>
      </w:r>
      <w:r w:rsidRPr="006217ED">
        <w:rPr>
          <w:szCs w:val="26"/>
        </w:rPr>
        <w:t>ntil new low-carbon or zero-carbon fuels become economically available for utility-scale use in dispatchable generation, incremental natural gas capacity will be required to maintain least-cost and reliable operations.</w:t>
      </w:r>
      <w:r>
        <w:rPr>
          <w:rStyle w:val="FootnoteReference"/>
          <w:szCs w:val="26"/>
        </w:rPr>
        <w:footnoteReference w:id="35"/>
      </w:r>
      <w:r>
        <w:rPr>
          <w:szCs w:val="26"/>
        </w:rPr>
        <w:t xml:space="preserve">  </w:t>
      </w:r>
      <w:r w:rsidR="00F965C4">
        <w:rPr>
          <w:szCs w:val="26"/>
        </w:rPr>
        <w:t xml:space="preserve">It states that the </w:t>
      </w:r>
      <w:r w:rsidR="00777CB0">
        <w:rPr>
          <w:szCs w:val="26"/>
        </w:rPr>
        <w:t>Amendment</w:t>
      </w:r>
      <w:r w:rsidR="007238BF">
        <w:rPr>
          <w:szCs w:val="26"/>
        </w:rPr>
        <w:t xml:space="preserve"> Project will allow Duke Energy </w:t>
      </w:r>
      <w:r w:rsidR="00DC177D">
        <w:rPr>
          <w:szCs w:val="26"/>
        </w:rPr>
        <w:t xml:space="preserve">to increase lower-cost deliveries from </w:t>
      </w:r>
      <w:r w:rsidR="005E7AE7">
        <w:rPr>
          <w:szCs w:val="26"/>
        </w:rPr>
        <w:t xml:space="preserve">Mountain Valley’s </w:t>
      </w:r>
      <w:r w:rsidR="00DC177D">
        <w:rPr>
          <w:szCs w:val="26"/>
        </w:rPr>
        <w:t xml:space="preserve">Mainline and that if </w:t>
      </w:r>
      <w:r w:rsidR="00E10DE9">
        <w:rPr>
          <w:szCs w:val="26"/>
        </w:rPr>
        <w:t xml:space="preserve">access to this supply is not available, it would need to rely on alternate fuel supplies that </w:t>
      </w:r>
      <w:r w:rsidR="006F38C5">
        <w:rPr>
          <w:szCs w:val="26"/>
        </w:rPr>
        <w:t>i</w:t>
      </w:r>
      <w:r w:rsidR="00D86D7B">
        <w:rPr>
          <w:szCs w:val="26"/>
        </w:rPr>
        <w:t>t</w:t>
      </w:r>
      <w:r w:rsidR="006F38C5">
        <w:rPr>
          <w:szCs w:val="26"/>
        </w:rPr>
        <w:t xml:space="preserve"> estimates </w:t>
      </w:r>
      <w:r w:rsidR="005E7AE7">
        <w:rPr>
          <w:szCs w:val="26"/>
        </w:rPr>
        <w:t xml:space="preserve">would </w:t>
      </w:r>
      <w:r w:rsidR="006F38C5">
        <w:rPr>
          <w:szCs w:val="26"/>
        </w:rPr>
        <w:t>result in increased costs and price volatility for its customers.</w:t>
      </w:r>
      <w:r w:rsidR="006F38C5">
        <w:rPr>
          <w:rStyle w:val="FootnoteReference"/>
          <w:szCs w:val="26"/>
        </w:rPr>
        <w:footnoteReference w:id="36"/>
      </w:r>
      <w:r w:rsidR="006F38C5">
        <w:rPr>
          <w:szCs w:val="26"/>
        </w:rPr>
        <w:t xml:space="preserve">  </w:t>
      </w:r>
      <w:r>
        <w:rPr>
          <w:szCs w:val="26"/>
        </w:rPr>
        <w:t xml:space="preserve">Duke Energy also argues that the project has been indirectly endorsed by the </w:t>
      </w:r>
      <w:r w:rsidRPr="007061D5">
        <w:rPr>
          <w:szCs w:val="26"/>
        </w:rPr>
        <w:t>North Carolina Utilities Commission</w:t>
      </w:r>
      <w:r>
        <w:rPr>
          <w:szCs w:val="26"/>
        </w:rPr>
        <w:t xml:space="preserve"> and </w:t>
      </w:r>
      <w:r w:rsidRPr="007061D5">
        <w:rPr>
          <w:szCs w:val="26"/>
        </w:rPr>
        <w:t>Public Service Commission of South Carolina</w:t>
      </w:r>
      <w:r>
        <w:rPr>
          <w:szCs w:val="26"/>
        </w:rPr>
        <w:t xml:space="preserve">, the state utility commissions that regulate Duke Energy, by approving Duke Energy’s respective integrated resource plans and </w:t>
      </w:r>
      <w:r w:rsidRPr="007061D5">
        <w:rPr>
          <w:szCs w:val="26"/>
        </w:rPr>
        <w:t>acknowledg</w:t>
      </w:r>
      <w:r>
        <w:rPr>
          <w:szCs w:val="26"/>
        </w:rPr>
        <w:t>ing</w:t>
      </w:r>
      <w:r w:rsidRPr="007061D5">
        <w:rPr>
          <w:szCs w:val="26"/>
        </w:rPr>
        <w:t xml:space="preserve"> the need for incremental gas capacity to the Carolinas</w:t>
      </w:r>
      <w:r>
        <w:rPr>
          <w:szCs w:val="26"/>
        </w:rPr>
        <w:t xml:space="preserve"> </w:t>
      </w:r>
      <w:r w:rsidRPr="007061D5">
        <w:rPr>
          <w:szCs w:val="26"/>
        </w:rPr>
        <w:t>to assist with the reliable operation of the electric system</w:t>
      </w:r>
      <w:r>
        <w:rPr>
          <w:szCs w:val="26"/>
        </w:rPr>
        <w:t>.</w:t>
      </w:r>
      <w:r>
        <w:rPr>
          <w:rStyle w:val="FootnoteReference"/>
          <w:szCs w:val="26"/>
        </w:rPr>
        <w:footnoteReference w:id="37"/>
      </w:r>
      <w:r w:rsidR="0034411F">
        <w:rPr>
          <w:szCs w:val="26"/>
        </w:rPr>
        <w:t xml:space="preserve">  It also </w:t>
      </w:r>
      <w:r w:rsidR="005D69CE">
        <w:rPr>
          <w:szCs w:val="26"/>
        </w:rPr>
        <w:t>a</w:t>
      </w:r>
      <w:r w:rsidR="00BC1F07">
        <w:rPr>
          <w:szCs w:val="26"/>
        </w:rPr>
        <w:t>vers</w:t>
      </w:r>
      <w:r w:rsidR="0034411F">
        <w:rPr>
          <w:szCs w:val="26"/>
        </w:rPr>
        <w:t xml:space="preserve"> that the project will facilitate the retirement of aging coal facilities</w:t>
      </w:r>
      <w:r w:rsidR="00C607A1">
        <w:rPr>
          <w:szCs w:val="26"/>
        </w:rPr>
        <w:t xml:space="preserve"> </w:t>
      </w:r>
      <w:r w:rsidR="00084E8D">
        <w:rPr>
          <w:szCs w:val="26"/>
        </w:rPr>
        <w:t>by</w:t>
      </w:r>
      <w:r w:rsidR="00442F94">
        <w:rPr>
          <w:szCs w:val="26"/>
        </w:rPr>
        <w:t xml:space="preserve"> bringing dispatchable generation online to complement </w:t>
      </w:r>
      <w:r w:rsidR="0024246E">
        <w:rPr>
          <w:szCs w:val="26"/>
        </w:rPr>
        <w:t>higher leve</w:t>
      </w:r>
      <w:r w:rsidR="003B03C8">
        <w:rPr>
          <w:szCs w:val="26"/>
        </w:rPr>
        <w:t>l</w:t>
      </w:r>
      <w:r w:rsidR="0024246E">
        <w:rPr>
          <w:szCs w:val="26"/>
        </w:rPr>
        <w:t>s of intermittent generation</w:t>
      </w:r>
      <w:r w:rsidR="00582526">
        <w:rPr>
          <w:szCs w:val="26"/>
        </w:rPr>
        <w:t xml:space="preserve">, which will </w:t>
      </w:r>
      <w:r w:rsidR="00C61517">
        <w:rPr>
          <w:szCs w:val="26"/>
        </w:rPr>
        <w:t xml:space="preserve">play a critical role in </w:t>
      </w:r>
      <w:r w:rsidR="004C7196">
        <w:rPr>
          <w:szCs w:val="26"/>
        </w:rPr>
        <w:t>achieving</w:t>
      </w:r>
      <w:r w:rsidR="00333CE5">
        <w:rPr>
          <w:szCs w:val="26"/>
        </w:rPr>
        <w:t xml:space="preserve"> overall carbon emission reductions </w:t>
      </w:r>
      <w:r w:rsidR="00BC1F07">
        <w:rPr>
          <w:szCs w:val="26"/>
        </w:rPr>
        <w:t>consistent with North Carolina Law.</w:t>
      </w:r>
      <w:r w:rsidR="00BB0C35">
        <w:rPr>
          <w:rStyle w:val="FootnoteReference"/>
          <w:szCs w:val="26"/>
        </w:rPr>
        <w:footnoteReference w:id="38"/>
      </w:r>
    </w:p>
    <w:p w14:paraId="0FE7341E" w14:textId="708C3AD0" w:rsidR="00B80D6B" w:rsidRDefault="00B80D6B" w:rsidP="00982A63">
      <w:pPr>
        <w:pStyle w:val="FERCparanumber"/>
      </w:pPr>
      <w:r>
        <w:rPr>
          <w:szCs w:val="26"/>
        </w:rPr>
        <w:t>PSNC, a project shipper, states that t</w:t>
      </w:r>
      <w:r w:rsidRPr="006217ED">
        <w:rPr>
          <w:szCs w:val="26"/>
        </w:rPr>
        <w:t xml:space="preserve">he </w:t>
      </w:r>
      <w:r>
        <w:rPr>
          <w:szCs w:val="26"/>
        </w:rPr>
        <w:t>p</w:t>
      </w:r>
      <w:r w:rsidRPr="006217ED">
        <w:rPr>
          <w:szCs w:val="26"/>
        </w:rPr>
        <w:t>roject</w:t>
      </w:r>
      <w:r w:rsidR="00960A5A">
        <w:rPr>
          <w:szCs w:val="26"/>
        </w:rPr>
        <w:t xml:space="preserve"> will</w:t>
      </w:r>
      <w:r w:rsidR="009C78A0">
        <w:rPr>
          <w:szCs w:val="26"/>
        </w:rPr>
        <w:t>:</w:t>
      </w:r>
      <w:r w:rsidR="00960A5A">
        <w:rPr>
          <w:szCs w:val="26"/>
        </w:rPr>
        <w:t xml:space="preserve"> </w:t>
      </w:r>
      <w:r w:rsidR="00AF421C">
        <w:rPr>
          <w:szCs w:val="26"/>
        </w:rPr>
        <w:t xml:space="preserve"> </w:t>
      </w:r>
      <w:r w:rsidR="009C78A0">
        <w:rPr>
          <w:szCs w:val="26"/>
        </w:rPr>
        <w:t xml:space="preserve">(i) </w:t>
      </w:r>
      <w:r w:rsidR="00960A5A">
        <w:rPr>
          <w:szCs w:val="26"/>
        </w:rPr>
        <w:t>help i</w:t>
      </w:r>
      <w:r w:rsidR="009C78A0">
        <w:rPr>
          <w:szCs w:val="26"/>
        </w:rPr>
        <w:t>t</w:t>
      </w:r>
      <w:r w:rsidR="00960A5A">
        <w:rPr>
          <w:szCs w:val="26"/>
        </w:rPr>
        <w:t xml:space="preserve"> meet increasing de</w:t>
      </w:r>
      <w:r w:rsidR="009C78A0">
        <w:rPr>
          <w:szCs w:val="26"/>
        </w:rPr>
        <w:t>mand for natural gas</w:t>
      </w:r>
      <w:r w:rsidR="00A75C6E">
        <w:rPr>
          <w:szCs w:val="26"/>
        </w:rPr>
        <w:t>;</w:t>
      </w:r>
      <w:r w:rsidR="009C78A0">
        <w:rPr>
          <w:szCs w:val="26"/>
        </w:rPr>
        <w:t xml:space="preserve"> (ii) provide PSNC with access to capacity it holds on </w:t>
      </w:r>
      <w:r w:rsidR="00AF421C">
        <w:rPr>
          <w:szCs w:val="26"/>
        </w:rPr>
        <w:t xml:space="preserve">Mountain Valley’s </w:t>
      </w:r>
      <w:r w:rsidR="009C78A0">
        <w:rPr>
          <w:szCs w:val="26"/>
        </w:rPr>
        <w:t xml:space="preserve">Mainline, which </w:t>
      </w:r>
      <w:r w:rsidR="002272C7">
        <w:rPr>
          <w:szCs w:val="26"/>
        </w:rPr>
        <w:t>constitutes</w:t>
      </w:r>
      <w:r w:rsidR="009C78A0">
        <w:rPr>
          <w:szCs w:val="26"/>
        </w:rPr>
        <w:t xml:space="preserve"> the best-cost alternative to satisfy its capacity needs</w:t>
      </w:r>
      <w:r w:rsidR="00D65B0A">
        <w:rPr>
          <w:szCs w:val="26"/>
        </w:rPr>
        <w:t>;</w:t>
      </w:r>
      <w:r w:rsidR="009C78A0">
        <w:rPr>
          <w:szCs w:val="26"/>
        </w:rPr>
        <w:t xml:space="preserve"> (iii) increase reliability, </w:t>
      </w:r>
      <w:r w:rsidR="002272C7">
        <w:rPr>
          <w:szCs w:val="26"/>
        </w:rPr>
        <w:t>resiliency</w:t>
      </w:r>
      <w:r w:rsidR="009C78A0">
        <w:rPr>
          <w:szCs w:val="26"/>
        </w:rPr>
        <w:t xml:space="preserve">, and direct </w:t>
      </w:r>
      <w:r w:rsidR="002272C7">
        <w:rPr>
          <w:szCs w:val="26"/>
        </w:rPr>
        <w:t>access</w:t>
      </w:r>
      <w:r w:rsidR="001F6868">
        <w:rPr>
          <w:szCs w:val="26"/>
        </w:rPr>
        <w:t xml:space="preserve"> to low-cost natural gas shale regions</w:t>
      </w:r>
      <w:r w:rsidR="00A75C6E">
        <w:rPr>
          <w:szCs w:val="26"/>
        </w:rPr>
        <w:t>;</w:t>
      </w:r>
      <w:r w:rsidR="002272C7">
        <w:rPr>
          <w:szCs w:val="26"/>
        </w:rPr>
        <w:t xml:space="preserve"> </w:t>
      </w:r>
      <w:r w:rsidR="002272C7" w:rsidRPr="002272C7">
        <w:rPr>
          <w:szCs w:val="26"/>
        </w:rPr>
        <w:t>(i</w:t>
      </w:r>
      <w:r w:rsidR="00A75C6E">
        <w:rPr>
          <w:szCs w:val="26"/>
        </w:rPr>
        <w:t>v</w:t>
      </w:r>
      <w:r w:rsidR="002272C7" w:rsidRPr="002272C7">
        <w:rPr>
          <w:szCs w:val="26"/>
        </w:rPr>
        <w:t>) contribute to the optionality of natural gas supply sources; (v) allow PSNC to replace secondary-firm backhaul</w:t>
      </w:r>
      <w:r w:rsidR="00917AAA">
        <w:rPr>
          <w:rStyle w:val="FootnoteReference"/>
          <w:szCs w:val="26"/>
        </w:rPr>
        <w:footnoteReference w:id="39"/>
      </w:r>
      <w:r w:rsidR="002272C7" w:rsidRPr="002272C7">
        <w:rPr>
          <w:szCs w:val="26"/>
        </w:rPr>
        <w:t xml:space="preserve"> deliveries with primary-firm forward-haul deliveries; and (v</w:t>
      </w:r>
      <w:r w:rsidR="00A75C6E">
        <w:rPr>
          <w:szCs w:val="26"/>
        </w:rPr>
        <w:t>i</w:t>
      </w:r>
      <w:r w:rsidR="002272C7" w:rsidRPr="002272C7">
        <w:rPr>
          <w:szCs w:val="26"/>
        </w:rPr>
        <w:t>)</w:t>
      </w:r>
      <w:r w:rsidR="00281326">
        <w:rPr>
          <w:szCs w:val="26"/>
        </w:rPr>
        <w:t> </w:t>
      </w:r>
      <w:r w:rsidR="002272C7" w:rsidRPr="002272C7">
        <w:rPr>
          <w:szCs w:val="26"/>
        </w:rPr>
        <w:t>operate using a minimum delivery pressure guarantee, increasing PSNC’s confidence in its system modeling and leading to operational enhancements.</w:t>
      </w:r>
      <w:r w:rsidR="00927648">
        <w:rPr>
          <w:rStyle w:val="FootnoteReference"/>
          <w:szCs w:val="26"/>
        </w:rPr>
        <w:footnoteReference w:id="40"/>
      </w:r>
      <w:r w:rsidR="00C72C1A">
        <w:rPr>
          <w:szCs w:val="26"/>
        </w:rPr>
        <w:t xml:space="preserve">  PSNC notes that it has seen increased constraints and continued reductions to operational flexibility on the Tran</w:t>
      </w:r>
      <w:r w:rsidR="00D57960">
        <w:rPr>
          <w:szCs w:val="26"/>
        </w:rPr>
        <w:t>s</w:t>
      </w:r>
      <w:r w:rsidR="00C72C1A">
        <w:rPr>
          <w:szCs w:val="26"/>
        </w:rPr>
        <w:t xml:space="preserve">co system due to the rapid rise of </w:t>
      </w:r>
      <w:r w:rsidR="007E7A3C">
        <w:rPr>
          <w:szCs w:val="26"/>
        </w:rPr>
        <w:t xml:space="preserve">daily Operational Flow Orders that often </w:t>
      </w:r>
      <w:r w:rsidR="007E7A3C">
        <w:rPr>
          <w:szCs w:val="26"/>
        </w:rPr>
        <w:lastRenderedPageBreak/>
        <w:t>significantly limit PSNC’s service options in both directions on th</w:t>
      </w:r>
      <w:r w:rsidR="00511ECF">
        <w:rPr>
          <w:szCs w:val="26"/>
        </w:rPr>
        <w:t>at</w:t>
      </w:r>
      <w:r w:rsidR="007E7A3C">
        <w:rPr>
          <w:szCs w:val="26"/>
        </w:rPr>
        <w:t xml:space="preserve"> pipeline.</w:t>
      </w:r>
      <w:r w:rsidR="007E7A3C">
        <w:rPr>
          <w:rStyle w:val="FootnoteReference"/>
          <w:szCs w:val="26"/>
        </w:rPr>
        <w:footnoteReference w:id="41"/>
      </w:r>
      <w:r w:rsidR="004F0DCE">
        <w:rPr>
          <w:szCs w:val="26"/>
        </w:rPr>
        <w:t xml:space="preserve"> </w:t>
      </w:r>
      <w:r w:rsidR="00B6108D">
        <w:rPr>
          <w:szCs w:val="26"/>
        </w:rPr>
        <w:t xml:space="preserve"> </w:t>
      </w:r>
      <w:r w:rsidR="00511ECF">
        <w:rPr>
          <w:szCs w:val="26"/>
        </w:rPr>
        <w:t>PSNC</w:t>
      </w:r>
      <w:r w:rsidR="004F3624">
        <w:rPr>
          <w:szCs w:val="26"/>
        </w:rPr>
        <w:t xml:space="preserve"> describes the issues it had with th</w:t>
      </w:r>
      <w:r w:rsidR="00F806E6">
        <w:rPr>
          <w:szCs w:val="26"/>
        </w:rPr>
        <w:t>e</w:t>
      </w:r>
      <w:r w:rsidR="00A45321">
        <w:rPr>
          <w:szCs w:val="26"/>
        </w:rPr>
        <w:t xml:space="preserve"> </w:t>
      </w:r>
      <w:r w:rsidR="004F3624">
        <w:rPr>
          <w:szCs w:val="26"/>
        </w:rPr>
        <w:t xml:space="preserve">Transco system during </w:t>
      </w:r>
      <w:r w:rsidR="00D926FB">
        <w:rPr>
          <w:szCs w:val="26"/>
        </w:rPr>
        <w:t>the abnormally cold weather</w:t>
      </w:r>
      <w:r w:rsidR="00AA7D59">
        <w:rPr>
          <w:szCs w:val="26"/>
        </w:rPr>
        <w:t xml:space="preserve"> </w:t>
      </w:r>
      <w:r w:rsidR="007C069B">
        <w:rPr>
          <w:szCs w:val="26"/>
        </w:rPr>
        <w:br/>
      </w:r>
      <w:r w:rsidR="00835BA0">
        <w:rPr>
          <w:szCs w:val="26"/>
        </w:rPr>
        <w:t>of</w:t>
      </w:r>
      <w:r w:rsidR="00AA7D59">
        <w:rPr>
          <w:szCs w:val="26"/>
        </w:rPr>
        <w:t xml:space="preserve"> </w:t>
      </w:r>
      <w:r w:rsidR="004F3624">
        <w:rPr>
          <w:szCs w:val="26"/>
        </w:rPr>
        <w:t>Winter Storm Elliot in 2022</w:t>
      </w:r>
      <w:r w:rsidR="005C5EC0">
        <w:rPr>
          <w:szCs w:val="26"/>
        </w:rPr>
        <w:t xml:space="preserve">, </w:t>
      </w:r>
      <w:r w:rsidR="00C9347D">
        <w:rPr>
          <w:szCs w:val="26"/>
        </w:rPr>
        <w:t>when</w:t>
      </w:r>
      <w:r w:rsidR="005C5EC0">
        <w:rPr>
          <w:szCs w:val="26"/>
        </w:rPr>
        <w:t xml:space="preserve"> the Transco system experienced historically low operating pressures such that PSNC could not bring enough </w:t>
      </w:r>
      <w:r w:rsidR="00835BA0">
        <w:rPr>
          <w:szCs w:val="26"/>
        </w:rPr>
        <w:t>natural</w:t>
      </w:r>
      <w:r w:rsidR="005C5EC0">
        <w:rPr>
          <w:szCs w:val="26"/>
        </w:rPr>
        <w:t xml:space="preserve"> gas </w:t>
      </w:r>
      <w:r w:rsidR="00835BA0">
        <w:rPr>
          <w:szCs w:val="26"/>
        </w:rPr>
        <w:t>supply</w:t>
      </w:r>
      <w:r w:rsidR="005C5EC0">
        <w:rPr>
          <w:szCs w:val="26"/>
        </w:rPr>
        <w:t xml:space="preserve"> </w:t>
      </w:r>
      <w:r w:rsidR="00835BA0">
        <w:rPr>
          <w:szCs w:val="26"/>
        </w:rPr>
        <w:t>onto</w:t>
      </w:r>
      <w:r w:rsidR="005C5EC0">
        <w:rPr>
          <w:szCs w:val="26"/>
        </w:rPr>
        <w:t xml:space="preserve"> its distribution system</w:t>
      </w:r>
      <w:r w:rsidR="00BA1B52">
        <w:rPr>
          <w:szCs w:val="26"/>
        </w:rPr>
        <w:t xml:space="preserve"> and had to take </w:t>
      </w:r>
      <w:r w:rsidR="00835BA0">
        <w:rPr>
          <w:szCs w:val="26"/>
        </w:rPr>
        <w:t>emergency</w:t>
      </w:r>
      <w:r w:rsidR="00BA1B52">
        <w:rPr>
          <w:szCs w:val="26"/>
        </w:rPr>
        <w:t xml:space="preserve"> action for its end-use customers.</w:t>
      </w:r>
      <w:r w:rsidR="00BA1B52">
        <w:rPr>
          <w:rStyle w:val="FootnoteReference"/>
          <w:szCs w:val="26"/>
        </w:rPr>
        <w:footnoteReference w:id="42"/>
      </w:r>
    </w:p>
    <w:p w14:paraId="2162465C" w14:textId="1BC0348E" w:rsidR="00982A63" w:rsidRDefault="00982A63" w:rsidP="0010095D">
      <w:pPr>
        <w:pStyle w:val="FERCparanumber"/>
      </w:pPr>
      <w:r w:rsidRPr="009A1424">
        <w:t>Appalachian Mountain Advocate</w:t>
      </w:r>
      <w:r>
        <w:t>s</w:t>
      </w:r>
      <w:r w:rsidRPr="009A1424">
        <w:t xml:space="preserve"> and various commenters challenge the need </w:t>
      </w:r>
      <w:r w:rsidR="00EB2CB0">
        <w:br/>
      </w:r>
      <w:r w:rsidRPr="009A1424">
        <w:t xml:space="preserve">for the </w:t>
      </w:r>
      <w:r w:rsidR="008B36CD">
        <w:t>Southgate Amendment</w:t>
      </w:r>
      <w:r w:rsidRPr="009A1424">
        <w:t xml:space="preserve"> Project.</w:t>
      </w:r>
      <w:r w:rsidR="00BE5D94">
        <w:rPr>
          <w:rStyle w:val="FootnoteReference"/>
        </w:rPr>
        <w:footnoteReference w:id="43"/>
      </w:r>
      <w:r w:rsidRPr="009A1424">
        <w:t xml:space="preserve">  </w:t>
      </w:r>
      <w:r>
        <w:t>Crystal Cavalier states that the project is not needed because Mountain Valley did not submit an independent market analysis.</w:t>
      </w:r>
      <w:r>
        <w:rPr>
          <w:rStyle w:val="FootnoteReference"/>
        </w:rPr>
        <w:footnoteReference w:id="44"/>
      </w:r>
      <w:r>
        <w:t xml:space="preserve">  Appalachian Mountain Advocates and others </w:t>
      </w:r>
      <w:r w:rsidRPr="00C207D0">
        <w:t xml:space="preserve">allege that natural gas demand projections are inflated and that the demand for natural gas to power </w:t>
      </w:r>
      <w:r>
        <w:t xml:space="preserve">artificial intelligence (AI) adoption and accompanying data center buildout </w:t>
      </w:r>
      <w:r w:rsidRPr="00C207D0">
        <w:t>will not materialize</w:t>
      </w:r>
      <w:r w:rsidRPr="009A1424">
        <w:t>.</w:t>
      </w:r>
      <w:r>
        <w:rPr>
          <w:rStyle w:val="FootnoteReference"/>
        </w:rPr>
        <w:footnoteReference w:id="45"/>
      </w:r>
      <w:r>
        <w:t xml:space="preserve">  </w:t>
      </w:r>
      <w:r w:rsidR="00452C35">
        <w:t>Appalachian Mountain Advocates filed a repor</w:t>
      </w:r>
      <w:r w:rsidR="005214DE">
        <w:t>t prepared by</w:t>
      </w:r>
      <w:r w:rsidR="00787981">
        <w:t xml:space="preserve"> the Institute for Energy Economics and Financial Analysis </w:t>
      </w:r>
      <w:r w:rsidR="00C003ED">
        <w:t xml:space="preserve">(IEEFA) </w:t>
      </w:r>
      <w:r w:rsidR="00452C35">
        <w:t>that</w:t>
      </w:r>
      <w:r w:rsidR="00C34E0C">
        <w:t xml:space="preserve"> </w:t>
      </w:r>
      <w:r w:rsidR="00452C35">
        <w:t xml:space="preserve">concludes there is a risk of utilities in the </w:t>
      </w:r>
      <w:r w:rsidR="007F5E3F">
        <w:t>s</w:t>
      </w:r>
      <w:r w:rsidR="00452C35">
        <w:t>outheast overbuilding pipelines in response to projected data center energy demand</w:t>
      </w:r>
      <w:r w:rsidR="00787981">
        <w:t xml:space="preserve"> because</w:t>
      </w:r>
      <w:r w:rsidR="00452C35">
        <w:t xml:space="preserve"> forecasted data cente</w:t>
      </w:r>
      <w:r w:rsidR="00787981">
        <w:t>rs may never be built</w:t>
      </w:r>
      <w:r w:rsidR="00452C35">
        <w:t>.</w:t>
      </w:r>
      <w:r w:rsidR="00452C35">
        <w:rPr>
          <w:rStyle w:val="FootnoteReference"/>
        </w:rPr>
        <w:footnoteReference w:id="46"/>
      </w:r>
      <w:r w:rsidR="00452C35">
        <w:t xml:space="preserve">  The </w:t>
      </w:r>
      <w:r w:rsidR="004E6FA8">
        <w:t xml:space="preserve">report </w:t>
      </w:r>
      <w:r w:rsidR="00452C35">
        <w:t>finds that ratepayers will subsidize the infrastructure need</w:t>
      </w:r>
      <w:r w:rsidR="00265214">
        <w:t>ed</w:t>
      </w:r>
      <w:r w:rsidR="00452C35">
        <w:t xml:space="preserve"> to serve data centers and </w:t>
      </w:r>
      <w:r w:rsidR="00787981">
        <w:t>that the subsidization will only worsen if infrastructure is overbuilt</w:t>
      </w:r>
      <w:r w:rsidR="00452C35">
        <w:t>.</w:t>
      </w:r>
      <w:r w:rsidR="00452C35">
        <w:rPr>
          <w:rStyle w:val="FootnoteReference"/>
        </w:rPr>
        <w:footnoteReference w:id="47"/>
      </w:r>
      <w:r w:rsidR="00C34E0C">
        <w:t xml:space="preserve">  </w:t>
      </w:r>
      <w:r w:rsidR="0028703E">
        <w:t>Additionally, t</w:t>
      </w:r>
      <w:r>
        <w:t xml:space="preserve">he Southern Alliance for Clean Energy filed a report, prepared by </w:t>
      </w:r>
      <w:r w:rsidRPr="000B18C4">
        <w:t>LEI</w:t>
      </w:r>
      <w:r>
        <w:t xml:space="preserve">, that contends that </w:t>
      </w:r>
      <w:r w:rsidRPr="000B18C4">
        <w:t>projected electricity demand from data centers may be flawed due to inherent upward bias that overstates actual infrastructure needs.</w:t>
      </w:r>
      <w:r>
        <w:rPr>
          <w:rStyle w:val="FootnoteReference"/>
        </w:rPr>
        <w:footnoteReference w:id="48"/>
      </w:r>
      <w:r>
        <w:t xml:space="preserve">  The </w:t>
      </w:r>
      <w:r w:rsidRPr="00813F39">
        <w:t>LEI</w:t>
      </w:r>
      <w:r>
        <w:t xml:space="preserve"> </w:t>
      </w:r>
      <w:r w:rsidR="0028703E">
        <w:t>Report</w:t>
      </w:r>
      <w:r w:rsidR="0028703E" w:rsidRPr="00813F39">
        <w:t xml:space="preserve"> </w:t>
      </w:r>
      <w:r w:rsidRPr="00813F39">
        <w:t>identifies a “phantom load” problem</w:t>
      </w:r>
      <w:r>
        <w:t>, which is</w:t>
      </w:r>
      <w:r w:rsidR="00EB2CB0">
        <w:br/>
      </w:r>
      <w:r w:rsidR="00EB2CB0">
        <w:br/>
      </w:r>
      <w:r w:rsidRPr="00813F39">
        <w:lastRenderedPageBreak/>
        <w:t xml:space="preserve">that data center developers have incentives to submit </w:t>
      </w:r>
      <w:r>
        <w:t>multiple, redundant</w:t>
      </w:r>
      <w:r w:rsidRPr="00813F39">
        <w:t xml:space="preserve"> interconnection requests across </w:t>
      </w:r>
      <w:r>
        <w:t>several utility</w:t>
      </w:r>
      <w:r w:rsidRPr="00813F39">
        <w:t xml:space="preserve"> jurisdictions, creating a structural upward bias in forecasts</w:t>
      </w:r>
      <w:r>
        <w:t>.</w:t>
      </w:r>
      <w:r>
        <w:rPr>
          <w:rStyle w:val="FootnoteReference"/>
        </w:rPr>
        <w:footnoteReference w:id="49"/>
      </w:r>
      <w:r>
        <w:t xml:space="preserve">  The </w:t>
      </w:r>
      <w:r w:rsidR="00452C35">
        <w:t>report</w:t>
      </w:r>
      <w:r>
        <w:t xml:space="preserve"> also concludes that the global supply chain of semiconductor chips is inadequate to support projected data center demand in the United States.</w:t>
      </w:r>
      <w:r>
        <w:rPr>
          <w:rStyle w:val="FootnoteReference"/>
        </w:rPr>
        <w:footnoteReference w:id="50"/>
      </w:r>
      <w:r>
        <w:t xml:space="preserve"> </w:t>
      </w:r>
    </w:p>
    <w:p w14:paraId="21D84387" w14:textId="3FD2D760" w:rsidR="00657CFF" w:rsidRDefault="00657CFF" w:rsidP="00657CFF">
      <w:pPr>
        <w:pStyle w:val="FERCparanumber"/>
      </w:pPr>
      <w:r>
        <w:t>Transco comments that its proposed Southeast Supply Enhancement Project could handle all of the Southgate Amendment Project capacity with only minor alterations within its currently proposed footprint.</w:t>
      </w:r>
      <w:r>
        <w:rPr>
          <w:rStyle w:val="FootnoteReference"/>
        </w:rPr>
        <w:footnoteReference w:id="51"/>
      </w:r>
      <w:r>
        <w:t xml:space="preserve">  Appalachian Voices argues that “</w:t>
      </w:r>
      <w:r w:rsidRPr="00E43875">
        <w:t>Transco could technically, practically and economically eliminate the need for the proposed Southgate project.”</w:t>
      </w:r>
      <w:r>
        <w:rPr>
          <w:rStyle w:val="FootnoteReference"/>
        </w:rPr>
        <w:footnoteReference w:id="52"/>
      </w:r>
      <w:r>
        <w:t xml:space="preserve">  </w:t>
      </w:r>
    </w:p>
    <w:p w14:paraId="1AFBF0B2" w14:textId="22D47FFE" w:rsidR="003E55EB" w:rsidRDefault="00061E76">
      <w:pPr>
        <w:pStyle w:val="FERCparanumber"/>
      </w:pPr>
      <w:r>
        <w:rPr>
          <w:szCs w:val="26"/>
        </w:rPr>
        <w:t>P</w:t>
      </w:r>
      <w:r w:rsidR="00FC3710" w:rsidRPr="001138BE">
        <w:rPr>
          <w:szCs w:val="26"/>
        </w:rPr>
        <w:t>recedent agreements for a</w:t>
      </w:r>
      <w:r>
        <w:rPr>
          <w:szCs w:val="26"/>
        </w:rPr>
        <w:t>n expansion</w:t>
      </w:r>
      <w:r w:rsidR="00FC3710" w:rsidRPr="001138BE">
        <w:rPr>
          <w:szCs w:val="26"/>
        </w:rPr>
        <w:t xml:space="preserve"> project’s entire capacity support a finding of project need.</w:t>
      </w:r>
      <w:r w:rsidR="00FC3710">
        <w:rPr>
          <w:rStyle w:val="FootnoteReference"/>
          <w:szCs w:val="26"/>
        </w:rPr>
        <w:footnoteReference w:id="53"/>
      </w:r>
      <w:r w:rsidR="00FC3710" w:rsidRPr="001138BE">
        <w:rPr>
          <w:szCs w:val="26"/>
        </w:rPr>
        <w:t xml:space="preserve">  </w:t>
      </w:r>
      <w:r w:rsidR="005A3957" w:rsidDel="004162BD">
        <w:t>Although market studies may provide evidence of need under the Certificate Policy Statement, they are not required for such a finding.</w:t>
      </w:r>
      <w:r w:rsidR="0029572D">
        <w:rPr>
          <w:rStyle w:val="FootnoteReference"/>
        </w:rPr>
        <w:footnoteReference w:id="54"/>
      </w:r>
      <w:r w:rsidR="005A3957" w:rsidRPr="001138BE" w:rsidDel="004162BD">
        <w:rPr>
          <w:szCs w:val="26"/>
        </w:rPr>
        <w:t xml:space="preserve"> </w:t>
      </w:r>
      <w:r w:rsidR="0044039A">
        <w:rPr>
          <w:szCs w:val="26"/>
        </w:rPr>
        <w:t xml:space="preserve"> </w:t>
      </w:r>
      <w:r w:rsidR="001C0756" w:rsidRPr="001C0756">
        <w:rPr>
          <w:szCs w:val="26"/>
        </w:rPr>
        <w:t xml:space="preserve">The Commission has continuously found that precedent agreements are the best evidence that the service </w:t>
      </w:r>
      <w:r w:rsidR="007C069B">
        <w:rPr>
          <w:szCs w:val="26"/>
        </w:rPr>
        <w:br/>
      </w:r>
      <w:r w:rsidR="001C0756" w:rsidRPr="001C0756">
        <w:rPr>
          <w:szCs w:val="26"/>
        </w:rPr>
        <w:t xml:space="preserve">to be provided by the project is needed to connect supply and demand, as precedent agreements involve parties engaging in negotiations for pipeline transportation services </w:t>
      </w:r>
      <w:r w:rsidR="007C069B">
        <w:rPr>
          <w:szCs w:val="26"/>
        </w:rPr>
        <w:br/>
      </w:r>
      <w:r w:rsidR="001C0756" w:rsidRPr="001C0756">
        <w:rPr>
          <w:szCs w:val="26"/>
        </w:rPr>
        <w:t>to meet individualized needs.</w:t>
      </w:r>
      <w:r w:rsidR="001C0756" w:rsidRPr="001C0756">
        <w:rPr>
          <w:b/>
          <w:szCs w:val="26"/>
          <w:vertAlign w:val="superscript"/>
        </w:rPr>
        <w:footnoteReference w:id="55"/>
      </w:r>
      <w:r w:rsidR="001C0756" w:rsidRPr="001C0756">
        <w:rPr>
          <w:szCs w:val="26"/>
        </w:rPr>
        <w:t xml:space="preserve">  </w:t>
      </w:r>
      <w:r w:rsidR="00FC3710" w:rsidRPr="001138BE">
        <w:rPr>
          <w:szCs w:val="26"/>
        </w:rPr>
        <w:t xml:space="preserve">The Commission will not look beyond precedent </w:t>
      </w:r>
      <w:r w:rsidR="00FC3710" w:rsidRPr="001138BE">
        <w:rPr>
          <w:szCs w:val="26"/>
        </w:rPr>
        <w:lastRenderedPageBreak/>
        <w:t>agreements to assess need by other means unless there is credible, contrary evidence discounting their probative value.</w:t>
      </w:r>
      <w:r w:rsidR="00FC3710">
        <w:rPr>
          <w:rStyle w:val="FootnoteReference"/>
          <w:szCs w:val="26"/>
        </w:rPr>
        <w:footnoteReference w:id="56"/>
      </w:r>
      <w:r w:rsidR="00FC3710" w:rsidRPr="001138BE">
        <w:rPr>
          <w:szCs w:val="26"/>
        </w:rPr>
        <w:t xml:space="preserve">  </w:t>
      </w:r>
      <w:r w:rsidR="002E50F6">
        <w:t xml:space="preserve"> </w:t>
      </w:r>
      <w:r w:rsidR="007A4D04">
        <w:t xml:space="preserve"> </w:t>
      </w:r>
    </w:p>
    <w:p w14:paraId="153C1358" w14:textId="78CD05EE" w:rsidR="00982A63" w:rsidRDefault="003E55EB">
      <w:pPr>
        <w:pStyle w:val="FERCparanumber"/>
      </w:pPr>
      <w:r>
        <w:t xml:space="preserve">No such evidence exists here.  </w:t>
      </w:r>
      <w:r w:rsidR="00AC6C8A" w:rsidRPr="00AC6C8A">
        <w:t xml:space="preserve">While the LEI Report and IEEFA Report question the credibility of regional load growth forecasts, </w:t>
      </w:r>
      <w:r w:rsidR="00C00F7C">
        <w:t>w</w:t>
      </w:r>
      <w:r w:rsidR="00AC6C8A" w:rsidRPr="00AC6C8A">
        <w:t>e find that legitimate electricity demand drivers clearly exist from the concentration of data centers and the incorporation of those proposals in recently approved utility integrated resource plans, such as the ones noted by Duke Energy above</w:t>
      </w:r>
      <w:r w:rsidR="008D5786">
        <w:t>.</w:t>
      </w:r>
      <w:r w:rsidR="00AC6C8A" w:rsidRPr="00AC6C8A">
        <w:rPr>
          <w:b/>
          <w:vertAlign w:val="superscript"/>
        </w:rPr>
        <w:footnoteReference w:id="57"/>
      </w:r>
      <w:r w:rsidR="00C75A33">
        <w:t xml:space="preserve">  Regarding the </w:t>
      </w:r>
      <w:r w:rsidR="00C75A33" w:rsidRPr="00C75A33">
        <w:t>IEEFA Report</w:t>
      </w:r>
      <w:r w:rsidR="00C75A33">
        <w:t>’s</w:t>
      </w:r>
      <w:r w:rsidR="00C75A33" w:rsidRPr="00C75A33">
        <w:t xml:space="preserve"> conclu</w:t>
      </w:r>
      <w:r w:rsidR="00C75A33">
        <w:t xml:space="preserve">sion that </w:t>
      </w:r>
      <w:r w:rsidR="00C75A33" w:rsidRPr="00C75A33">
        <w:t xml:space="preserve">ratepayers will subsidize infrastructure needed to serve data centers, </w:t>
      </w:r>
      <w:r w:rsidR="008F0723">
        <w:t xml:space="preserve">we note that Mountain Valley’s precedent agreements </w:t>
      </w:r>
      <w:r w:rsidR="00C34584">
        <w:t>with project shippers do not constrain th</w:t>
      </w:r>
      <w:r w:rsidR="00827787">
        <w:t>at the capacity be delivered to specific defined facilities, and the Commission does not regulate or track how shippers decide to flow natural gas downstream</w:t>
      </w:r>
      <w:r w:rsidR="00C75A33" w:rsidRPr="00C75A33">
        <w:t>.  Rather, for the shippers that are public utilities, state public utility commissions regulate the utilities’ use of natural gas transported and the rates the utilities charge to ratepayers.</w:t>
      </w:r>
      <w:r w:rsidR="00C75A33" w:rsidRPr="00C75A33">
        <w:rPr>
          <w:b/>
          <w:vertAlign w:val="superscript"/>
        </w:rPr>
        <w:footnoteReference w:id="58"/>
      </w:r>
      <w:r w:rsidR="00C75A33" w:rsidRPr="00C75A33">
        <w:t xml:space="preserve">  Moreover, the Commission views transportation service for all shippers as providing public benefits and does not weigh end uses differently for the purpose of determining need for a project</w:t>
      </w:r>
      <w:r w:rsidR="00AC6C8A" w:rsidRPr="00AC6C8A">
        <w:t>.</w:t>
      </w:r>
      <w:r w:rsidR="00533DF0" w:rsidRPr="00533DF0">
        <w:t xml:space="preserve"> </w:t>
      </w:r>
    </w:p>
    <w:p w14:paraId="01D5E2AE" w14:textId="6BD30622" w:rsidR="0004326B" w:rsidRDefault="00793896" w:rsidP="00D1787E">
      <w:pPr>
        <w:pStyle w:val="FERCparanumber"/>
      </w:pPr>
      <w:r>
        <w:t>Allegation</w:t>
      </w:r>
      <w:r w:rsidR="00890C99">
        <w:t>s</w:t>
      </w:r>
      <w:r>
        <w:t xml:space="preserve"> </w:t>
      </w:r>
      <w:r w:rsidR="0064070F">
        <w:t>that the project is not needed because Transco</w:t>
      </w:r>
      <w:r w:rsidR="006432DB">
        <w:t>’s</w:t>
      </w:r>
      <w:r w:rsidR="0064070F">
        <w:t xml:space="preserve"> </w:t>
      </w:r>
      <w:r w:rsidR="003713CF">
        <w:t xml:space="preserve">proposed </w:t>
      </w:r>
      <w:r w:rsidR="002624ED">
        <w:t xml:space="preserve">Southeast </w:t>
      </w:r>
      <w:r w:rsidR="007A3784">
        <w:t xml:space="preserve">Supply </w:t>
      </w:r>
      <w:r w:rsidR="002624ED">
        <w:t xml:space="preserve">Enhancement Project </w:t>
      </w:r>
      <w:r w:rsidR="0064070F">
        <w:t xml:space="preserve">could handle the </w:t>
      </w:r>
      <w:r w:rsidR="00777CB0">
        <w:t>Amendment</w:t>
      </w:r>
      <w:r w:rsidR="003713CF">
        <w:t xml:space="preserve"> Project</w:t>
      </w:r>
      <w:r w:rsidR="0064070F">
        <w:t xml:space="preserve"> volumes are not persuasive.  </w:t>
      </w:r>
      <w:r w:rsidR="00326F1B" w:rsidRPr="00326F1B">
        <w:t>The Commission’s role under the NGA is to decide “whether to adopt an applicant’s proposal and, if so, to what degree</w:t>
      </w:r>
      <w:r w:rsidR="000C68E0">
        <w:t>,</w:t>
      </w:r>
      <w:r w:rsidR="00326F1B" w:rsidRPr="00326F1B">
        <w:t>”</w:t>
      </w:r>
      <w:r w:rsidR="00326F1B" w:rsidRPr="00326F1B">
        <w:rPr>
          <w:b/>
          <w:vertAlign w:val="superscript"/>
        </w:rPr>
        <w:footnoteReference w:id="59"/>
      </w:r>
      <w:r w:rsidR="00326F1B" w:rsidRPr="00326F1B">
        <w:t xml:space="preserve"> </w:t>
      </w:r>
      <w:r w:rsidR="000C68E0">
        <w:t>and, as noted, consider the enhancement of competitive transportation alternatives.</w:t>
      </w:r>
      <w:r w:rsidR="00B43BC0">
        <w:rPr>
          <w:rStyle w:val="FootnoteReference"/>
        </w:rPr>
        <w:footnoteReference w:id="60"/>
      </w:r>
      <w:r w:rsidR="000C68E0">
        <w:t xml:space="preserve">  </w:t>
      </w:r>
      <w:r w:rsidR="00326F1B" w:rsidRPr="00326F1B">
        <w:t>He</w:t>
      </w:r>
      <w:r w:rsidR="009941C3">
        <w:t xml:space="preserve">re, </w:t>
      </w:r>
      <w:r w:rsidR="00326F1B" w:rsidRPr="00326F1B">
        <w:t xml:space="preserve">the project’s purpose is </w:t>
      </w:r>
      <w:r w:rsidR="00326F1B" w:rsidRPr="00326F1B">
        <w:lastRenderedPageBreak/>
        <w:t xml:space="preserve">to serve the firm natural gas transportation requirements of </w:t>
      </w:r>
      <w:r w:rsidR="00DA4FE3">
        <w:t>Mountain Valley’s</w:t>
      </w:r>
      <w:r w:rsidR="00DA4FE3" w:rsidRPr="00326F1B">
        <w:t xml:space="preserve"> </w:t>
      </w:r>
      <w:r w:rsidR="00326F1B" w:rsidRPr="00326F1B">
        <w:t>shippers to</w:t>
      </w:r>
      <w:r w:rsidR="00F72750">
        <w:t xml:space="preserve"> meet</w:t>
      </w:r>
      <w:r w:rsidR="00326F1B" w:rsidRPr="00326F1B">
        <w:t xml:space="preserve"> increased demand,</w:t>
      </w:r>
      <w:r w:rsidR="0025480A">
        <w:rPr>
          <w:rStyle w:val="FootnoteReference"/>
        </w:rPr>
        <w:footnoteReference w:id="61"/>
      </w:r>
      <w:r w:rsidR="00326F1B" w:rsidRPr="00326F1B">
        <w:t xml:space="preserve"> provide access to lower-cost gas,</w:t>
      </w:r>
      <w:r w:rsidR="00635FA3">
        <w:rPr>
          <w:rStyle w:val="FootnoteReference"/>
        </w:rPr>
        <w:footnoteReference w:id="62"/>
      </w:r>
      <w:r w:rsidR="00326F1B" w:rsidRPr="00326F1B">
        <w:t xml:space="preserve"> enhance reliability,</w:t>
      </w:r>
      <w:r w:rsidR="003637C7">
        <w:rPr>
          <w:rStyle w:val="FootnoteReference"/>
        </w:rPr>
        <w:footnoteReference w:id="63"/>
      </w:r>
      <w:r w:rsidR="00326F1B" w:rsidRPr="00326F1B">
        <w:t xml:space="preserve"> and </w:t>
      </w:r>
      <w:r w:rsidR="00B4022F">
        <w:t>offer other operational benefits</w:t>
      </w:r>
      <w:r w:rsidR="00326F1B" w:rsidRPr="00326F1B">
        <w:t>.</w:t>
      </w:r>
      <w:r w:rsidR="00326F1B" w:rsidRPr="00326F1B">
        <w:rPr>
          <w:b/>
          <w:vertAlign w:val="superscript"/>
        </w:rPr>
        <w:footnoteReference w:id="64"/>
      </w:r>
      <w:r w:rsidR="00326F1B" w:rsidRPr="00326F1B">
        <w:t xml:space="preserve">  </w:t>
      </w:r>
      <w:r w:rsidR="00F86FEF">
        <w:t>T</w:t>
      </w:r>
      <w:r w:rsidR="00F86FEF" w:rsidRPr="008E3CC3">
        <w:t>he Commission does not look behind such agreements to assess shippers</w:t>
      </w:r>
      <w:r w:rsidR="0006406A">
        <w:t>’</w:t>
      </w:r>
      <w:r w:rsidR="00F86FEF" w:rsidRPr="008E3CC3">
        <w:t xml:space="preserve"> business decisions</w:t>
      </w:r>
      <w:r w:rsidR="00253B29">
        <w:t>,</w:t>
      </w:r>
      <w:r w:rsidR="00F86FEF">
        <w:rPr>
          <w:rStyle w:val="FootnoteReference"/>
        </w:rPr>
        <w:footnoteReference w:id="65"/>
      </w:r>
      <w:r w:rsidR="00253B29">
        <w:t xml:space="preserve"> </w:t>
      </w:r>
      <w:r w:rsidR="00103DF1">
        <w:t>but we note that t</w:t>
      </w:r>
      <w:r w:rsidR="00326F1B" w:rsidRPr="00326F1B">
        <w:t xml:space="preserve">he record does not establish that </w:t>
      </w:r>
      <w:r w:rsidR="00910787">
        <w:t xml:space="preserve">contracting for capacity on the </w:t>
      </w:r>
      <w:r w:rsidR="00A95DD3">
        <w:t xml:space="preserve">proposed </w:t>
      </w:r>
      <w:r w:rsidR="00653FC3">
        <w:t>Southeast</w:t>
      </w:r>
      <w:r w:rsidR="00134551">
        <w:t xml:space="preserve"> Supply En</w:t>
      </w:r>
      <w:r w:rsidR="00484F13">
        <w:t>ha</w:t>
      </w:r>
      <w:r w:rsidR="00BB09F1">
        <w:t>n</w:t>
      </w:r>
      <w:r w:rsidR="00134551">
        <w:t>cement Project</w:t>
      </w:r>
      <w:r w:rsidR="00326F1B" w:rsidRPr="00326F1B">
        <w:t xml:space="preserve"> would satisfy the needs expressed by the project shippers in this proceeding.</w:t>
      </w:r>
      <w:r w:rsidR="00B67132">
        <w:t xml:space="preserve"> </w:t>
      </w:r>
      <w:r w:rsidR="0066523F">
        <w:t xml:space="preserve"> </w:t>
      </w:r>
      <w:r w:rsidR="00195C32">
        <w:t>Had the</w:t>
      </w:r>
      <w:r w:rsidR="00751119">
        <w:t xml:space="preserve"> shippers</w:t>
      </w:r>
      <w:r w:rsidR="00195C32">
        <w:t xml:space="preserve"> wanted to contract for capacity</w:t>
      </w:r>
      <w:r w:rsidR="008730FE">
        <w:t xml:space="preserve"> </w:t>
      </w:r>
      <w:r w:rsidR="00BB09F1">
        <w:t>(</w:t>
      </w:r>
      <w:r w:rsidR="008730FE">
        <w:t>or in the case of Duke Energy, additional capacity</w:t>
      </w:r>
      <w:r w:rsidR="00BB09F1">
        <w:rPr>
          <w:rStyle w:val="FootnoteReference"/>
        </w:rPr>
        <w:footnoteReference w:id="66"/>
      </w:r>
      <w:r w:rsidR="00BB09F1">
        <w:t>)</w:t>
      </w:r>
      <w:r w:rsidR="008730FE">
        <w:t xml:space="preserve"> on the Transco</w:t>
      </w:r>
      <w:r w:rsidR="00925E5E">
        <w:t xml:space="preserve"> line, </w:t>
      </w:r>
      <w:r w:rsidR="00B53ED1">
        <w:t xml:space="preserve">they could have done so.  </w:t>
      </w:r>
      <w:r w:rsidR="00AB68C7">
        <w:t>Transco held its open</w:t>
      </w:r>
      <w:r w:rsidR="00F55E6F">
        <w:t xml:space="preserve"> </w:t>
      </w:r>
      <w:r w:rsidR="00AB68C7">
        <w:t>season in June 2023</w:t>
      </w:r>
      <w:r w:rsidR="00751119">
        <w:t>,</w:t>
      </w:r>
      <w:r w:rsidR="0067216F">
        <w:rPr>
          <w:rStyle w:val="FootnoteReference"/>
        </w:rPr>
        <w:footnoteReference w:id="67"/>
      </w:r>
      <w:r w:rsidR="00F55E6F">
        <w:t xml:space="preserve"> and the </w:t>
      </w:r>
      <w:r w:rsidR="00925E5E">
        <w:t>shi</w:t>
      </w:r>
      <w:r w:rsidR="00653FC3">
        <w:t xml:space="preserve">ppers </w:t>
      </w:r>
      <w:r w:rsidR="00CC134B">
        <w:t xml:space="preserve">still chose to execute precedent agreements with Mountain Valley in </w:t>
      </w:r>
      <w:r w:rsidR="002734E5">
        <w:t>February</w:t>
      </w:r>
      <w:r w:rsidR="00CC134B">
        <w:t xml:space="preserve"> 202</w:t>
      </w:r>
      <w:r w:rsidR="002734E5">
        <w:t>4</w:t>
      </w:r>
      <w:r w:rsidR="00CC134B">
        <w:t>, when it held its open season.</w:t>
      </w:r>
      <w:r w:rsidR="002734E5">
        <w:rPr>
          <w:rStyle w:val="FootnoteReference"/>
        </w:rPr>
        <w:footnoteReference w:id="68"/>
      </w:r>
      <w:r w:rsidR="00BA7280">
        <w:t xml:space="preserve">  As the Commission has previously stated, </w:t>
      </w:r>
    </w:p>
    <w:p w14:paraId="49E55F35" w14:textId="519E8A61" w:rsidR="00B67132" w:rsidRPr="00B67132" w:rsidRDefault="0004326B" w:rsidP="00A8029C">
      <w:pPr>
        <w:pStyle w:val="FERCparanumber"/>
        <w:numPr>
          <w:ilvl w:val="0"/>
          <w:numId w:val="0"/>
        </w:numPr>
        <w:ind w:left="720" w:right="720"/>
      </w:pPr>
      <w:r>
        <w:t>[w]</w:t>
      </w:r>
      <w:r w:rsidR="00C9362C" w:rsidRPr="00C9362C">
        <w:t>hile the Certificate Policy Statement permits the applicant to show need in a variety ways, it does not suggest that the Commission should examine a group of projects together and pick which projects best serve an estimated future regional demand.</w:t>
      </w:r>
      <w:r w:rsidR="003C43BF">
        <w:t xml:space="preserve"> . . .</w:t>
      </w:r>
      <w:r>
        <w:t xml:space="preserve"> </w:t>
      </w:r>
      <w:r w:rsidR="00C119EB">
        <w:t xml:space="preserve"> [T]</w:t>
      </w:r>
      <w:r w:rsidR="003C43BF" w:rsidRPr="003C43BF">
        <w:t>he Commission evaluates individual projects based on the evidence of need presented in each proceeding.</w:t>
      </w:r>
      <w:r>
        <w:rPr>
          <w:rStyle w:val="FootnoteReference"/>
        </w:rPr>
        <w:footnoteReference w:id="69"/>
      </w:r>
      <w:r w:rsidR="003C43BF" w:rsidRPr="003C43BF">
        <w:t xml:space="preserve"> </w:t>
      </w:r>
    </w:p>
    <w:p w14:paraId="30953FE6" w14:textId="4A1E25FA" w:rsidR="00286C6B" w:rsidRPr="00417F05" w:rsidRDefault="00311B2C" w:rsidP="00DA1D07">
      <w:pPr>
        <w:pStyle w:val="FERCparanumber"/>
        <w:spacing w:after="240"/>
      </w:pPr>
      <w:bookmarkStart w:id="3" w:name="_Ref31025212"/>
      <w:r>
        <w:lastRenderedPageBreak/>
        <w:t>Here</w:t>
      </w:r>
      <w:r w:rsidR="00286C6B">
        <w:t xml:space="preserve">, </w:t>
      </w:r>
      <w:r w:rsidR="00BA2606">
        <w:t>Mountain Valley entered into</w:t>
      </w:r>
      <w:r w:rsidR="00286C6B">
        <w:t xml:space="preserve"> precedent agreements with Duke </w:t>
      </w:r>
      <w:r w:rsidR="00DA1D07">
        <w:t>E</w:t>
      </w:r>
      <w:r w:rsidR="00286C6B">
        <w:t xml:space="preserve">nergy and PSNC for </w:t>
      </w:r>
      <w:r w:rsidR="00DA1D07">
        <w:t>10</w:t>
      </w:r>
      <w:r w:rsidR="00286C6B">
        <w:t xml:space="preserve">0% of the </w:t>
      </w:r>
      <w:r w:rsidR="008B36CD">
        <w:t>Southgate Amendment</w:t>
      </w:r>
      <w:r w:rsidR="00286C6B">
        <w:t xml:space="preserve"> Project’s capacity.</w:t>
      </w:r>
      <w:bookmarkEnd w:id="3"/>
      <w:r w:rsidR="00286C6B">
        <w:t xml:space="preserve"> </w:t>
      </w:r>
      <w:r w:rsidR="00DB007E">
        <w:t xml:space="preserve"> </w:t>
      </w:r>
      <w:r w:rsidR="003C7ADC" w:rsidRPr="003C7ADC">
        <w:t xml:space="preserve">Accordingly, </w:t>
      </w:r>
      <w:r w:rsidR="00C7568D" w:rsidRPr="00C7568D">
        <w:t xml:space="preserve">we find that the Amendment Project </w:t>
      </w:r>
      <w:r w:rsidR="00C7568D" w:rsidRPr="008838CE">
        <w:t>will not lead to the overbuilding of pipeline infrastructure</w:t>
      </w:r>
      <w:r w:rsidR="00C7568D" w:rsidRPr="00C7568D">
        <w:t xml:space="preserve"> and will provide needed natural gas transportation service</w:t>
      </w:r>
      <w:r w:rsidR="005A4A73">
        <w:t>.</w:t>
      </w:r>
      <w:r w:rsidR="00AD7915">
        <w:rPr>
          <w:rStyle w:val="FootnoteReference"/>
        </w:rPr>
        <w:footnoteReference w:id="70"/>
      </w:r>
    </w:p>
    <w:p w14:paraId="0A71A3E4" w14:textId="77777777" w:rsidR="00612AA5" w:rsidRDefault="00612AA5" w:rsidP="00612AA5">
      <w:pPr>
        <w:pStyle w:val="Heading3"/>
      </w:pPr>
      <w:r w:rsidRPr="00540DCD">
        <w:t>Impacts on Existing Customers, Existing Pipelines and Their Customers, and Landowners and Surrounding Communities</w:t>
      </w:r>
    </w:p>
    <w:p w14:paraId="4ED420AD" w14:textId="2E1B9D64" w:rsidR="00E2135C" w:rsidRPr="008F0C3D" w:rsidRDefault="00607EC8" w:rsidP="008F0C3D">
      <w:pPr>
        <w:pStyle w:val="FERCparanumber"/>
        <w:spacing w:after="240"/>
        <w:rPr>
          <w:szCs w:val="26"/>
        </w:rPr>
      </w:pPr>
      <w:r>
        <w:rPr>
          <w:szCs w:val="26"/>
        </w:rPr>
        <w:t>The Certificate Order found that the Southgate Project would not</w:t>
      </w:r>
      <w:r w:rsidR="00DC46A1">
        <w:rPr>
          <w:szCs w:val="26"/>
        </w:rPr>
        <w:t xml:space="preserve"> cause a degradation in service to Mountain Valley’s Mainline System customers</w:t>
      </w:r>
      <w:r w:rsidR="0027252E">
        <w:rPr>
          <w:szCs w:val="26"/>
        </w:rPr>
        <w:t>,</w:t>
      </w:r>
      <w:r w:rsidR="00DC46A1">
        <w:rPr>
          <w:rStyle w:val="FootnoteReference"/>
          <w:szCs w:val="26"/>
        </w:rPr>
        <w:footnoteReference w:id="71"/>
      </w:r>
      <w:r w:rsidR="00DC46A1">
        <w:rPr>
          <w:szCs w:val="26"/>
        </w:rPr>
        <w:t xml:space="preserve"> </w:t>
      </w:r>
      <w:r w:rsidR="0027252E">
        <w:rPr>
          <w:szCs w:val="26"/>
        </w:rPr>
        <w:t xml:space="preserve">and we continue to reach the same conclusion regarding the </w:t>
      </w:r>
      <w:r w:rsidR="00777CB0">
        <w:rPr>
          <w:szCs w:val="26"/>
        </w:rPr>
        <w:t>Amendment</w:t>
      </w:r>
      <w:r w:rsidR="0027252E">
        <w:rPr>
          <w:szCs w:val="26"/>
        </w:rPr>
        <w:t xml:space="preserve"> Project.  </w:t>
      </w:r>
      <w:r w:rsidR="00DC46A1">
        <w:rPr>
          <w:szCs w:val="26"/>
        </w:rPr>
        <w:t xml:space="preserve"> </w:t>
      </w:r>
      <w:r w:rsidR="0027252E">
        <w:rPr>
          <w:szCs w:val="26"/>
        </w:rPr>
        <w:t>Additionally, w</w:t>
      </w:r>
      <w:r w:rsidR="00E2135C" w:rsidRPr="008F0C3D">
        <w:rPr>
          <w:szCs w:val="26"/>
        </w:rPr>
        <w:t xml:space="preserve">e find that there will be no adverse impact on other pipelines in the region or their captive customers.  The </w:t>
      </w:r>
      <w:r w:rsidR="008B36CD">
        <w:rPr>
          <w:szCs w:val="26"/>
        </w:rPr>
        <w:t>Southgate Amendment</w:t>
      </w:r>
      <w:r w:rsidR="00E2135C" w:rsidRPr="008F0C3D">
        <w:rPr>
          <w:szCs w:val="26"/>
        </w:rPr>
        <w:t xml:space="preserve"> Project will provide up to </w:t>
      </w:r>
      <w:r w:rsidR="004B6A70" w:rsidRPr="008F0C3D">
        <w:rPr>
          <w:szCs w:val="26"/>
        </w:rPr>
        <w:t>550</w:t>
      </w:r>
      <w:r w:rsidR="00E2135C" w:rsidRPr="008F0C3D">
        <w:rPr>
          <w:szCs w:val="26"/>
        </w:rPr>
        <w:t>,000 Dth</w:t>
      </w:r>
      <w:r w:rsidR="00D10B3C" w:rsidRPr="008F0C3D">
        <w:rPr>
          <w:szCs w:val="26"/>
        </w:rPr>
        <w:t>/d</w:t>
      </w:r>
      <w:r w:rsidR="00E2135C" w:rsidRPr="008F0C3D">
        <w:rPr>
          <w:szCs w:val="26"/>
        </w:rPr>
        <w:t xml:space="preserve"> of incremental firm transportation service in North Carolina and southern Virginia.  </w:t>
      </w:r>
      <w:r w:rsidR="00E2135C">
        <w:t>N</w:t>
      </w:r>
      <w:r w:rsidR="00E2135C" w:rsidRPr="00E17EE3">
        <w:t>o transportation service provider or captive customer ha</w:t>
      </w:r>
      <w:r w:rsidR="009F5B24">
        <w:t>ve</w:t>
      </w:r>
      <w:r w:rsidR="00E2135C" w:rsidRPr="00E17EE3">
        <w:t xml:space="preserve"> </w:t>
      </w:r>
      <w:r w:rsidR="005512CD">
        <w:t xml:space="preserve">raised concerns </w:t>
      </w:r>
      <w:r w:rsidR="000106F3">
        <w:t>regarding adverse</w:t>
      </w:r>
      <w:r w:rsidR="003459AA">
        <w:t xml:space="preserve"> a</w:t>
      </w:r>
      <w:r w:rsidR="003D6056">
        <w:t>ffect</w:t>
      </w:r>
      <w:r w:rsidR="003D4E48">
        <w:t>s</w:t>
      </w:r>
      <w:r w:rsidR="00E2135C">
        <w:t xml:space="preserve">. </w:t>
      </w:r>
      <w:r w:rsidR="007B1E04">
        <w:t xml:space="preserve"> </w:t>
      </w:r>
      <w:r w:rsidR="00E2135C" w:rsidRPr="00E17EE3">
        <w:t xml:space="preserve">Therefore, we find that the </w:t>
      </w:r>
      <w:r w:rsidR="00E2135C">
        <w:t>Southgate</w:t>
      </w:r>
      <w:r w:rsidR="00E2135C" w:rsidRPr="00E17EE3">
        <w:t xml:space="preserve"> Project will have no adverse impact on existing pipelines or their captive customers.</w:t>
      </w:r>
    </w:p>
    <w:p w14:paraId="0D7A05CD" w14:textId="72D3B852" w:rsidR="0034031F" w:rsidRDefault="00945BF1" w:rsidP="0034031F">
      <w:pPr>
        <w:pStyle w:val="FERCparanumber"/>
        <w:spacing w:after="240"/>
      </w:pPr>
      <w:r>
        <w:rPr>
          <w:szCs w:val="26"/>
        </w:rPr>
        <w:t xml:space="preserve">The Certificate </w:t>
      </w:r>
      <w:r w:rsidR="00010AAF">
        <w:rPr>
          <w:szCs w:val="26"/>
        </w:rPr>
        <w:t>Order found that Mountain Valley had “</w:t>
      </w:r>
      <w:r w:rsidR="0034031F" w:rsidRPr="00416917">
        <w:rPr>
          <w:szCs w:val="26"/>
        </w:rPr>
        <w:t>taken appropriate steps to minimize adverse impacts on landowners.</w:t>
      </w:r>
      <w:r w:rsidR="00010AAF">
        <w:rPr>
          <w:szCs w:val="26"/>
        </w:rPr>
        <w:t>”</w:t>
      </w:r>
      <w:r w:rsidR="00A23D03">
        <w:rPr>
          <w:rStyle w:val="FootnoteReference"/>
          <w:szCs w:val="26"/>
        </w:rPr>
        <w:footnoteReference w:id="72"/>
      </w:r>
      <w:r w:rsidR="0034031F" w:rsidRPr="007D73F9">
        <w:t xml:space="preserve"> </w:t>
      </w:r>
      <w:r w:rsidR="0034031F">
        <w:t xml:space="preserve"> </w:t>
      </w:r>
      <w:r w:rsidR="0034031F" w:rsidRPr="007D73F9">
        <w:t xml:space="preserve">As discussed in </w:t>
      </w:r>
      <w:r w:rsidR="0034031F">
        <w:t xml:space="preserve">greater detail in </w:t>
      </w:r>
      <w:r w:rsidR="0034031F" w:rsidRPr="007D73F9">
        <w:t xml:space="preserve">the </w:t>
      </w:r>
      <w:r w:rsidR="00811AA7">
        <w:t>EA</w:t>
      </w:r>
      <w:r w:rsidR="00BB218A">
        <w:t xml:space="preserve"> </w:t>
      </w:r>
      <w:r w:rsidR="00D556A7">
        <w:t xml:space="preserve">the </w:t>
      </w:r>
      <w:r w:rsidR="00777CB0">
        <w:t>Amendment</w:t>
      </w:r>
      <w:r w:rsidR="00D556A7">
        <w:t xml:space="preserve"> Project was designed to reduce impacts to landowners and surrounding communities as compared to </w:t>
      </w:r>
      <w:r w:rsidR="00E30D50">
        <w:t>the certificated project</w:t>
      </w:r>
      <w:r w:rsidR="0034031F">
        <w:t xml:space="preserve">.  </w:t>
      </w:r>
      <w:r w:rsidR="008F4BE1" w:rsidRPr="008F4BE1">
        <w:t xml:space="preserve">Mountain Valley </w:t>
      </w:r>
      <w:r w:rsidR="008F4BE1">
        <w:t xml:space="preserve">states that it </w:t>
      </w:r>
      <w:r w:rsidR="008F4BE1" w:rsidRPr="008F4BE1">
        <w:t xml:space="preserve">has acquired 100% of the easements required for the </w:t>
      </w:r>
      <w:r w:rsidR="00777CB0">
        <w:t>Amendment</w:t>
      </w:r>
      <w:r w:rsidR="008F4BE1" w:rsidRPr="008F4BE1">
        <w:t xml:space="preserve"> Project in North Carolina and more than 95% of the easements (by tract) in Virginia.</w:t>
      </w:r>
      <w:r w:rsidR="008F4BE1">
        <w:rPr>
          <w:rStyle w:val="FootnoteReference"/>
        </w:rPr>
        <w:footnoteReference w:id="73"/>
      </w:r>
      <w:r w:rsidR="008F4BE1" w:rsidRPr="008F4BE1">
        <w:t xml:space="preserve"> </w:t>
      </w:r>
      <w:r w:rsidR="008F4BE1">
        <w:t xml:space="preserve"> </w:t>
      </w:r>
      <w:r w:rsidR="0063298C">
        <w:t>W</w:t>
      </w:r>
      <w:r w:rsidR="00B76580" w:rsidRPr="00B76580">
        <w:t xml:space="preserve">e find that </w:t>
      </w:r>
      <w:r w:rsidR="0063298C">
        <w:t xml:space="preserve">Mountain </w:t>
      </w:r>
      <w:r w:rsidR="0063298C">
        <w:lastRenderedPageBreak/>
        <w:t>Valley has taken appropriate steps to minimize</w:t>
      </w:r>
      <w:r w:rsidR="0063298C" w:rsidRPr="00B76580">
        <w:t xml:space="preserve"> </w:t>
      </w:r>
      <w:r w:rsidR="00B76580" w:rsidRPr="00B76580">
        <w:t>adverse</w:t>
      </w:r>
      <w:r w:rsidR="00513C9F">
        <w:t xml:space="preserve"> economic</w:t>
      </w:r>
      <w:r w:rsidR="00B76580" w:rsidRPr="00B76580">
        <w:t xml:space="preserve"> impacts on landowners and surrounding communities.</w:t>
      </w:r>
    </w:p>
    <w:p w14:paraId="0D29E2B9" w14:textId="77777777" w:rsidR="004F6F85" w:rsidRDefault="004F6F85" w:rsidP="004F6F85">
      <w:pPr>
        <w:pStyle w:val="Heading3"/>
        <w:rPr>
          <w:szCs w:val="26"/>
        </w:rPr>
      </w:pPr>
      <w:r w:rsidRPr="00AD2817">
        <w:rPr>
          <w:szCs w:val="26"/>
        </w:rPr>
        <w:t>Certificate Policy Statement Conclusion</w:t>
      </w:r>
    </w:p>
    <w:p w14:paraId="77F98BEC" w14:textId="1D1CE86E" w:rsidR="006141C3" w:rsidRPr="00D060D2" w:rsidRDefault="00BB0A6D" w:rsidP="00BB0A6D">
      <w:pPr>
        <w:pStyle w:val="FERCparanumber"/>
        <w:spacing w:after="240"/>
      </w:pPr>
      <w:r w:rsidRPr="00AD2817">
        <w:rPr>
          <w:szCs w:val="26"/>
        </w:rPr>
        <w:t xml:space="preserve">The </w:t>
      </w:r>
      <w:r w:rsidR="008B36CD">
        <w:rPr>
          <w:szCs w:val="26"/>
        </w:rPr>
        <w:t>Southgate Amendment</w:t>
      </w:r>
      <w:r>
        <w:rPr>
          <w:szCs w:val="26"/>
        </w:rPr>
        <w:t xml:space="preserve"> Project</w:t>
      </w:r>
      <w:r w:rsidRPr="00AD2817">
        <w:rPr>
          <w:szCs w:val="26"/>
        </w:rPr>
        <w:t xml:space="preserve"> will provide </w:t>
      </w:r>
      <w:r w:rsidR="00A83237">
        <w:rPr>
          <w:szCs w:val="26"/>
        </w:rPr>
        <w:t>550</w:t>
      </w:r>
      <w:r w:rsidRPr="00AD2817">
        <w:rPr>
          <w:szCs w:val="26"/>
        </w:rPr>
        <w:t>,</w:t>
      </w:r>
      <w:r w:rsidR="00A83237">
        <w:rPr>
          <w:szCs w:val="26"/>
        </w:rPr>
        <w:t>0</w:t>
      </w:r>
      <w:r w:rsidRPr="00AD2817">
        <w:rPr>
          <w:szCs w:val="26"/>
        </w:rPr>
        <w:t xml:space="preserve">00 Dth/d of incremental firm transportation service.  </w:t>
      </w:r>
      <w:r>
        <w:rPr>
          <w:szCs w:val="26"/>
        </w:rPr>
        <w:t>Mountain Valley</w:t>
      </w:r>
      <w:r w:rsidRPr="00AD2817">
        <w:rPr>
          <w:szCs w:val="26"/>
        </w:rPr>
        <w:t xml:space="preserve"> has entered into binding agreement</w:t>
      </w:r>
      <w:r w:rsidR="0033618F">
        <w:rPr>
          <w:szCs w:val="26"/>
        </w:rPr>
        <w:t>s</w:t>
      </w:r>
      <w:r w:rsidRPr="00AD2817">
        <w:rPr>
          <w:szCs w:val="26"/>
        </w:rPr>
        <w:t xml:space="preserve"> for 100% of the project’s capacity. </w:t>
      </w:r>
      <w:r w:rsidR="00732FBA">
        <w:rPr>
          <w:szCs w:val="26"/>
        </w:rPr>
        <w:t xml:space="preserve"> W</w:t>
      </w:r>
      <w:r w:rsidRPr="00AD2817">
        <w:rPr>
          <w:szCs w:val="26"/>
        </w:rPr>
        <w:t xml:space="preserve">e find that </w:t>
      </w:r>
      <w:r w:rsidR="0033618F">
        <w:rPr>
          <w:szCs w:val="26"/>
        </w:rPr>
        <w:t>Mountain Valley</w:t>
      </w:r>
      <w:r w:rsidRPr="00AD2817">
        <w:rPr>
          <w:szCs w:val="26"/>
        </w:rPr>
        <w:t xml:space="preserve"> has demonstrated a need for the project, and, further, that the project will not have adverse impacts on existing shippers or other pipelines and their existing customers, and that the project will have minimal economic effects on landowners and surrounding communities.  Therefore, we conclude that the project is consistent with the criteria set forth in the Certificate Policy Statement and analyze the project’s environmental impacts below.</w:t>
      </w:r>
      <w:r w:rsidRPr="00AD2817">
        <w:rPr>
          <w:b/>
          <w:szCs w:val="26"/>
          <w:vertAlign w:val="superscript"/>
        </w:rPr>
        <w:footnoteReference w:id="74"/>
      </w:r>
    </w:p>
    <w:p w14:paraId="34F063BD" w14:textId="6369BD79" w:rsidR="00EC6BA4" w:rsidRDefault="00135A59" w:rsidP="00EC6BA4">
      <w:pPr>
        <w:pStyle w:val="Heading2"/>
      </w:pPr>
      <w:r>
        <w:t>Rates</w:t>
      </w:r>
    </w:p>
    <w:p w14:paraId="21597687" w14:textId="6B0AF8BA" w:rsidR="00F466D9" w:rsidRPr="00F466D9" w:rsidRDefault="00F466D9" w:rsidP="0037497F">
      <w:pPr>
        <w:pStyle w:val="Heading3"/>
      </w:pPr>
      <w:r>
        <w:t>Initial Recourse Rates</w:t>
      </w:r>
    </w:p>
    <w:p w14:paraId="57B57344" w14:textId="2B3251A3" w:rsidR="003C798D" w:rsidRDefault="003C798D" w:rsidP="003C798D">
      <w:pPr>
        <w:pStyle w:val="FERCparanumber"/>
      </w:pPr>
      <w:r w:rsidRPr="003C798D">
        <w:t>The Certificate Order authorized Mountain Valley to provide firm, interruptible, and interruptible lending and parking transportation services under a separate rate zone called the Southgate System.</w:t>
      </w:r>
      <w:r w:rsidR="002C096F">
        <w:rPr>
          <w:rStyle w:val="FootnoteReference"/>
        </w:rPr>
        <w:footnoteReference w:id="75"/>
      </w:r>
      <w:r w:rsidRPr="003C798D">
        <w:t xml:space="preserve">  Mountain Valley states that it is not proposing changes to the accepted rate zone structure as part of the </w:t>
      </w:r>
      <w:r w:rsidR="00777CB0">
        <w:t>Amendment</w:t>
      </w:r>
      <w:r w:rsidRPr="003C798D">
        <w:t xml:space="preserve"> Project.</w:t>
      </w:r>
      <w:r w:rsidRPr="003C798D">
        <w:rPr>
          <w:b/>
          <w:vertAlign w:val="superscript"/>
        </w:rPr>
        <w:footnoteReference w:id="76"/>
      </w:r>
    </w:p>
    <w:p w14:paraId="0D63D4EF" w14:textId="277E8B3D" w:rsidR="0066429C" w:rsidRPr="00304B2A" w:rsidRDefault="0066429C" w:rsidP="0066429C">
      <w:pPr>
        <w:pStyle w:val="FERCparanumber"/>
      </w:pPr>
      <w:r w:rsidRPr="009C24F0">
        <w:t>Mountain Valley developed its revised cost of service using the same underlying factors that were authorized in the Certificate Order, including a capital structure of 50% debt and 50% equity, a proposed cost of debt of 6%, a return on equity (ROE) of 14%, and a 2.5% depreciation rate.</w:t>
      </w:r>
      <w:r w:rsidRPr="009C24F0">
        <w:rPr>
          <w:rStyle w:val="FootnoteReference"/>
        </w:rPr>
        <w:footnoteReference w:id="77"/>
      </w:r>
      <w:r w:rsidRPr="009C24F0">
        <w:t xml:space="preserve">  Mountain Valley uses a straight fixed-variable rate design to derive its rates based on the full project design capacity of 550,000 Dth/d and </w:t>
      </w:r>
      <w:r w:rsidR="001023A5">
        <w:br/>
      </w:r>
      <w:r w:rsidRPr="009C24F0">
        <w:t>a first-year cost of service of $82,803,</w:t>
      </w:r>
      <w:r w:rsidRPr="00070936">
        <w:t>530</w:t>
      </w:r>
      <w:r w:rsidRPr="009C24F0">
        <w:t>.</w:t>
      </w:r>
      <w:r w:rsidRPr="009C24F0">
        <w:rPr>
          <w:b/>
          <w:vertAlign w:val="superscript"/>
        </w:rPr>
        <w:footnoteReference w:id="78"/>
      </w:r>
      <w:r w:rsidRPr="009C24F0">
        <w:t xml:space="preserve">  Mountain Valley calculates a revised maximum monthly firm recourse reservation charge of $12.4645 per Dth based on a first</w:t>
      </w:r>
      <w:r w:rsidR="004A3521">
        <w:t>-</w:t>
      </w:r>
      <w:r w:rsidRPr="009C24F0">
        <w:t xml:space="preserve">year fixed cost of service of $82,265,534 and annual billing determinants of 6,600,000 </w:t>
      </w:r>
      <w:r w:rsidRPr="009C24F0">
        <w:lastRenderedPageBreak/>
        <w:t>Dth.</w:t>
      </w:r>
      <w:r w:rsidRPr="009C24F0">
        <w:rPr>
          <w:rStyle w:val="FootnoteReference"/>
        </w:rPr>
        <w:footnoteReference w:id="79"/>
      </w:r>
      <w:r w:rsidRPr="009C24F0">
        <w:t xml:space="preserve">  Mountain Valley also </w:t>
      </w:r>
      <w:r w:rsidRPr="00070936">
        <w:t>calculates</w:t>
      </w:r>
      <w:r w:rsidRPr="009C24F0">
        <w:t xml:space="preserve"> a revised </w:t>
      </w:r>
      <w:r>
        <w:t xml:space="preserve">daily </w:t>
      </w:r>
      <w:r w:rsidRPr="009C24F0">
        <w:t>firm usage charge of $0.0027 based on a first</w:t>
      </w:r>
      <w:r w:rsidR="004A3521">
        <w:t>-</w:t>
      </w:r>
      <w:r w:rsidRPr="009C24F0">
        <w:t xml:space="preserve">year variable cost of service of $537,996 and annual </w:t>
      </w:r>
      <w:r>
        <w:t>billing determinants</w:t>
      </w:r>
      <w:r w:rsidRPr="009C24F0">
        <w:t xml:space="preserve"> of 200,750,000 Dth.  Mountain Valley proposes a revised maximum interruptible rate of $0.4125 per Dth/d and an interruptible lending and parking </w:t>
      </w:r>
      <w:r w:rsidRPr="00070936">
        <w:t>rate</w:t>
      </w:r>
      <w:r w:rsidRPr="009C24F0">
        <w:t xml:space="preserve"> of $0.4125 per Dth/d based on the maximum daily Rate Schedule FTS reservation charge plus the usage charge.  In addition, Mountain Valley</w:t>
      </w:r>
      <w:r w:rsidR="00E963A5">
        <w:t xml:space="preserve"> notes that it</w:t>
      </w:r>
      <w:r w:rsidRPr="009C24F0">
        <w:t xml:space="preserve">s Rate Schedule </w:t>
      </w:r>
      <w:r w:rsidR="007F0540">
        <w:t xml:space="preserve">for </w:t>
      </w:r>
      <w:r w:rsidR="0032330E">
        <w:t>Enhanced</w:t>
      </w:r>
      <w:r w:rsidR="007F0540">
        <w:t xml:space="preserve"> Firm Transportation Service (</w:t>
      </w:r>
      <w:r w:rsidRPr="009C24F0">
        <w:t>EFT</w:t>
      </w:r>
      <w:r w:rsidR="007F0540">
        <w:t>)</w:t>
      </w:r>
      <w:r w:rsidRPr="009C24F0">
        <w:t xml:space="preserve"> was approved in Docket No. RP24-682-000 for mainline service.</w:t>
      </w:r>
      <w:r w:rsidRPr="009C24F0">
        <w:rPr>
          <w:rStyle w:val="FootnoteReference"/>
        </w:rPr>
        <w:footnoteReference w:id="80"/>
      </w:r>
      <w:r w:rsidRPr="009C24F0">
        <w:t xml:space="preserve">  Accordingly, Mountain Valley proposes a monthly reservation charge of $18.6967 and usage charge of $0.0027 under Rate Schedule EFT</w:t>
      </w:r>
      <w:r>
        <w:t xml:space="preserve"> for the Southgate System</w:t>
      </w:r>
      <w:r w:rsidRPr="00070936">
        <w:t>.</w:t>
      </w:r>
    </w:p>
    <w:p w14:paraId="62E2D58D" w14:textId="631B8B03" w:rsidR="00B17509" w:rsidRDefault="00B17509" w:rsidP="000A5782">
      <w:pPr>
        <w:pStyle w:val="FERCparanumber"/>
      </w:pPr>
      <w:r w:rsidRPr="00E40AAA">
        <w:t xml:space="preserve">We have reviewed Mountain Valley’s proposed revised cost of service and revised </w:t>
      </w:r>
      <w:r>
        <w:t>initial</w:t>
      </w:r>
      <w:r w:rsidRPr="00E40AAA">
        <w:t xml:space="preserve"> rates and find that they are consistent with current Commission policy</w:t>
      </w:r>
      <w:r>
        <w:t xml:space="preserve">, </w:t>
      </w:r>
      <w:r w:rsidRPr="00304B2A">
        <w:t>with the exception of the ROE as discussed below.</w:t>
      </w:r>
    </w:p>
    <w:p w14:paraId="7D9D256A" w14:textId="0216938D" w:rsidR="00F466D9" w:rsidRPr="000A5782" w:rsidRDefault="00F466D9" w:rsidP="008C35A0">
      <w:pPr>
        <w:pStyle w:val="Heading3"/>
      </w:pPr>
      <w:r>
        <w:t>Return on Equity</w:t>
      </w:r>
    </w:p>
    <w:p w14:paraId="33277038" w14:textId="66147148" w:rsidR="00B17509" w:rsidRPr="00304B2A" w:rsidRDefault="00B17509" w:rsidP="00B17509">
      <w:pPr>
        <w:pStyle w:val="FERCparanumber"/>
      </w:pPr>
      <w:r w:rsidRPr="00304B2A">
        <w:t xml:space="preserve">The Commission has stated that </w:t>
      </w:r>
      <w:r w:rsidR="0009391B">
        <w:t>a</w:t>
      </w:r>
      <w:r w:rsidR="0009391B" w:rsidRPr="00304B2A">
        <w:t xml:space="preserve"> </w:t>
      </w:r>
      <w:r w:rsidRPr="00304B2A">
        <w:t>14% ROE is an appropriate incentive for new pipeline companies to enter the market.</w:t>
      </w:r>
      <w:r w:rsidRPr="00304B2A">
        <w:rPr>
          <w:b/>
          <w:vertAlign w:val="superscript"/>
        </w:rPr>
        <w:footnoteReference w:id="81"/>
      </w:r>
      <w:r w:rsidRPr="00304B2A">
        <w:t xml:space="preserve">  Because new entrants building greenfield natural gas pipelines do not have an existing customer base, they face greater risks constructing a new pipeline system and servicing new routes than established pipeline companies do when adding incremental capacity to their systems.</w:t>
      </w:r>
      <w:r w:rsidRPr="00304B2A">
        <w:rPr>
          <w:b/>
          <w:vertAlign w:val="superscript"/>
        </w:rPr>
        <w:footnoteReference w:id="82"/>
      </w:r>
      <w:r w:rsidRPr="00304B2A">
        <w:t xml:space="preserve">  With respect to developing rates for incremental expansion projects, the Commission’s general policy is to use the ROE approved in the pipeline’s last NGA section 4 rate proceeding or, if the pipeline has not filed a rate case, the ROE from the last litigated NGA section 4 rate </w:t>
      </w:r>
      <w:r w:rsidRPr="00304B2A">
        <w:lastRenderedPageBreak/>
        <w:t>case.</w:t>
      </w:r>
      <w:r w:rsidRPr="00304B2A">
        <w:rPr>
          <w:rStyle w:val="FootnoteReference"/>
          <w:szCs w:val="26"/>
        </w:rPr>
        <w:footnoteReference w:id="83"/>
      </w:r>
      <w:r w:rsidRPr="00304B2A">
        <w:t xml:space="preserve">  This tends to yield a return lower than 14%, reflecting the lower risk existing pipelines face when building incremental capacity.</w:t>
      </w:r>
      <w:r w:rsidRPr="00304B2A">
        <w:rPr>
          <w:rStyle w:val="FootnoteReference"/>
          <w:szCs w:val="26"/>
        </w:rPr>
        <w:footnoteReference w:id="84"/>
      </w:r>
      <w:r w:rsidRPr="00304B2A">
        <w:t xml:space="preserve">   </w:t>
      </w:r>
    </w:p>
    <w:p w14:paraId="47050740" w14:textId="06E83007" w:rsidR="002E60FF" w:rsidRPr="00304B2A" w:rsidRDefault="002E60FF" w:rsidP="002E60FF">
      <w:pPr>
        <w:pStyle w:val="FERCparanumber"/>
      </w:pPr>
      <w:r w:rsidRPr="00304B2A">
        <w:t xml:space="preserve">The Commission previously approved Mountain Valley’s request for a 14% ROE for the </w:t>
      </w:r>
      <w:r w:rsidR="00D91980">
        <w:t>Southgate</w:t>
      </w:r>
      <w:r w:rsidR="00D91980" w:rsidRPr="00304B2A">
        <w:t xml:space="preserve"> </w:t>
      </w:r>
      <w:r w:rsidRPr="00304B2A">
        <w:t>Project</w:t>
      </w:r>
      <w:r>
        <w:t xml:space="preserve"> </w:t>
      </w:r>
      <w:r w:rsidRPr="00304B2A">
        <w:t>because</w:t>
      </w:r>
      <w:r w:rsidRPr="00070936">
        <w:t xml:space="preserve"> at the time of the Certificate Order</w:t>
      </w:r>
      <w:r>
        <w:t>’s issuance</w:t>
      </w:r>
      <w:r w:rsidRPr="00070936">
        <w:t xml:space="preserve">, Mountain Valley’s </w:t>
      </w:r>
      <w:r w:rsidR="009C6DED">
        <w:t>M</w:t>
      </w:r>
      <w:r w:rsidRPr="00070936">
        <w:t xml:space="preserve">ainline </w:t>
      </w:r>
      <w:r w:rsidR="009C6DED">
        <w:t>S</w:t>
      </w:r>
      <w:r w:rsidRPr="00070936">
        <w:t>ystem was not yet in</w:t>
      </w:r>
      <w:r w:rsidR="00730A33">
        <w:t xml:space="preserve"> </w:t>
      </w:r>
      <w:r w:rsidRPr="00070936">
        <w:t>service and did not have established operations or revenue streams.</w:t>
      </w:r>
      <w:r w:rsidRPr="00304B2A">
        <w:rPr>
          <w:rStyle w:val="FootnoteReference"/>
          <w:szCs w:val="26"/>
        </w:rPr>
        <w:footnoteReference w:id="85"/>
      </w:r>
      <w:r w:rsidRPr="00070936">
        <w:t xml:space="preserve">  As a result, the </w:t>
      </w:r>
      <w:r w:rsidR="006F339A">
        <w:t>Commission determined that the project</w:t>
      </w:r>
      <w:r w:rsidRPr="00070936">
        <w:t xml:space="preserve"> faced a capital funding </w:t>
      </w:r>
      <w:r w:rsidRPr="00304B2A">
        <w:t>outlook similar to other greenfield pipeline systems.</w:t>
      </w:r>
      <w:r w:rsidRPr="00304B2A">
        <w:rPr>
          <w:rStyle w:val="FootnoteReference"/>
          <w:szCs w:val="26"/>
        </w:rPr>
        <w:footnoteReference w:id="86"/>
      </w:r>
      <w:r w:rsidRPr="00304B2A">
        <w:t xml:space="preserve">  </w:t>
      </w:r>
      <w:r w:rsidR="00625E33">
        <w:t xml:space="preserve">The </w:t>
      </w:r>
      <w:r w:rsidRPr="00304B2A">
        <w:t xml:space="preserve">Commission found its decision </w:t>
      </w:r>
      <w:r w:rsidR="00625E33">
        <w:t>to be</w:t>
      </w:r>
      <w:r w:rsidR="00625E33" w:rsidRPr="00304B2A">
        <w:t xml:space="preserve"> </w:t>
      </w:r>
      <w:r w:rsidRPr="00304B2A">
        <w:t>consistent with</w:t>
      </w:r>
      <w:r w:rsidRPr="00304B2A">
        <w:rPr>
          <w:i/>
        </w:rPr>
        <w:t xml:space="preserve"> Rockies Express Pipeline LLC</w:t>
      </w:r>
      <w:r w:rsidR="00625E33">
        <w:rPr>
          <w:i/>
        </w:rPr>
        <w:t xml:space="preserve"> </w:t>
      </w:r>
      <w:r w:rsidR="00625E33" w:rsidRPr="008C35A0">
        <w:rPr>
          <w:iCs/>
        </w:rPr>
        <w:t>(</w:t>
      </w:r>
      <w:r w:rsidR="00625E33">
        <w:rPr>
          <w:i/>
        </w:rPr>
        <w:t>REX</w:t>
      </w:r>
      <w:r w:rsidR="00625E33" w:rsidRPr="008C35A0">
        <w:rPr>
          <w:iCs/>
        </w:rPr>
        <w:t>)</w:t>
      </w:r>
      <w:r w:rsidRPr="00304B2A">
        <w:t xml:space="preserve">, where the Commission approved a </w:t>
      </w:r>
      <w:r w:rsidR="00625E33">
        <w:t>higher</w:t>
      </w:r>
      <w:r w:rsidR="00DF019E">
        <w:t xml:space="preserve"> requested</w:t>
      </w:r>
      <w:r w:rsidRPr="00304B2A">
        <w:t xml:space="preserve"> ROE </w:t>
      </w:r>
      <w:r w:rsidR="00DF019E">
        <w:t xml:space="preserve">of 13% </w:t>
      </w:r>
      <w:r w:rsidRPr="00304B2A">
        <w:t>for an expansion project that would connect to a previously authorized, but not fully operational greenfield pipeline, because of the greater risk associated with the project.</w:t>
      </w:r>
      <w:r w:rsidRPr="00304B2A">
        <w:rPr>
          <w:rStyle w:val="FootnoteReference"/>
          <w:szCs w:val="26"/>
        </w:rPr>
        <w:footnoteReference w:id="87"/>
      </w:r>
      <w:r w:rsidRPr="00304B2A">
        <w:t xml:space="preserve">  </w:t>
      </w:r>
    </w:p>
    <w:p w14:paraId="6BC8095E" w14:textId="28FA1FE2" w:rsidR="00624970" w:rsidRPr="00F82945" w:rsidRDefault="00624970" w:rsidP="00F82945">
      <w:pPr>
        <w:pStyle w:val="FERCparanumber"/>
      </w:pPr>
      <w:r>
        <w:t xml:space="preserve">We find </w:t>
      </w:r>
      <w:r w:rsidRPr="00304B2A">
        <w:t xml:space="preserve">that circumstances have changed since the Certificate Order’s issuance </w:t>
      </w:r>
      <w:r w:rsidR="0054273B">
        <w:t xml:space="preserve">  </w:t>
      </w:r>
      <w:r w:rsidRPr="00304B2A">
        <w:t>in 2020 such that a</w:t>
      </w:r>
      <w:r w:rsidR="00DC7DA9">
        <w:t xml:space="preserve"> </w:t>
      </w:r>
      <w:r>
        <w:t>1</w:t>
      </w:r>
      <w:r w:rsidRPr="00304B2A">
        <w:t xml:space="preserve">4% ROE is no longer appropriate for the </w:t>
      </w:r>
      <w:r w:rsidR="00635D56">
        <w:t xml:space="preserve">Southgate </w:t>
      </w:r>
      <w:r w:rsidRPr="00304B2A">
        <w:t xml:space="preserve">Project.  After Mountain Valley’s </w:t>
      </w:r>
      <w:r w:rsidR="0039151B">
        <w:t>M</w:t>
      </w:r>
      <w:r w:rsidRPr="00304B2A">
        <w:t xml:space="preserve">ainline </w:t>
      </w:r>
      <w:r w:rsidR="0039151B">
        <w:t>S</w:t>
      </w:r>
      <w:r w:rsidRPr="00304B2A">
        <w:t>ystem went into service in 2024,</w:t>
      </w:r>
      <w:r w:rsidRPr="00304B2A">
        <w:rPr>
          <w:rStyle w:val="FootnoteReference"/>
          <w:szCs w:val="26"/>
        </w:rPr>
        <w:footnoteReference w:id="88"/>
      </w:r>
      <w:r w:rsidRPr="00304B2A">
        <w:t xml:space="preserve"> it established operations and collected revenue from existing transportation services</w:t>
      </w:r>
      <w:r w:rsidR="00C953ED">
        <w:t xml:space="preserve">, thereby allowing it </w:t>
      </w:r>
      <w:r w:rsidR="00E42D21">
        <w:t xml:space="preserve">to </w:t>
      </w:r>
      <w:r w:rsidR="00C953ED">
        <w:t>show an existing revenue stream to attract investment</w:t>
      </w:r>
      <w:r w:rsidRPr="00304B2A">
        <w:t>.</w:t>
      </w:r>
      <w:r w:rsidR="007835A3">
        <w:rPr>
          <w:rStyle w:val="FootnoteReference"/>
        </w:rPr>
        <w:footnoteReference w:id="89"/>
      </w:r>
      <w:r w:rsidRPr="00304B2A">
        <w:t xml:space="preserve">  </w:t>
      </w:r>
      <w:r>
        <w:t xml:space="preserve">As a result, the </w:t>
      </w:r>
      <w:r w:rsidR="00777CB0">
        <w:t>Amendment</w:t>
      </w:r>
      <w:r>
        <w:t xml:space="preserve"> Project no longer confronts the same level of risk as th</w:t>
      </w:r>
      <w:r w:rsidR="00101288">
        <w:t>at</w:t>
      </w:r>
      <w:r>
        <w:t xml:space="preserve"> faced by new market entrants not yet providing service.  </w:t>
      </w:r>
      <w:r w:rsidR="00FF66E5">
        <w:t>W</w:t>
      </w:r>
      <w:r w:rsidR="00E50C9F">
        <w:t xml:space="preserve">e find that </w:t>
      </w:r>
      <w:r>
        <w:t>the</w:t>
      </w:r>
      <w:r w:rsidRPr="00304B2A">
        <w:t xml:space="preserve"> </w:t>
      </w:r>
      <w:r w:rsidR="00777CB0">
        <w:t>Amendment</w:t>
      </w:r>
      <w:r w:rsidRPr="00304B2A">
        <w:t xml:space="preserve"> </w:t>
      </w:r>
      <w:r>
        <w:t xml:space="preserve">Project </w:t>
      </w:r>
      <w:r w:rsidR="002F5B45">
        <w:t xml:space="preserve">is more like </w:t>
      </w:r>
      <w:r w:rsidRPr="00304B2A">
        <w:t>an existing pipeline</w:t>
      </w:r>
      <w:r w:rsidR="0054273B">
        <w:t xml:space="preserve"> </w:t>
      </w:r>
      <w:r w:rsidRPr="00304B2A">
        <w:t>expansion project than a greenfield project.</w:t>
      </w:r>
      <w:r w:rsidRPr="00304B2A">
        <w:rPr>
          <w:rStyle w:val="FootnoteReference"/>
          <w:szCs w:val="26"/>
        </w:rPr>
        <w:footnoteReference w:id="90"/>
      </w:r>
      <w:r w:rsidRPr="00304B2A">
        <w:t xml:space="preserve">  </w:t>
      </w:r>
      <w:r w:rsidR="008A2E4F">
        <w:t>Accordingly</w:t>
      </w:r>
      <w:r w:rsidR="008A2E4F" w:rsidRPr="00304B2A">
        <w:t xml:space="preserve">, </w:t>
      </w:r>
      <w:r w:rsidR="008A2E4F" w:rsidRPr="00304B2A">
        <w:rPr>
          <w:i/>
        </w:rPr>
        <w:t xml:space="preserve">REX </w:t>
      </w:r>
      <w:r w:rsidR="008A2E4F" w:rsidRPr="00304B2A">
        <w:t xml:space="preserve">is no longer </w:t>
      </w:r>
      <w:r w:rsidR="00E42D21">
        <w:t>analogous</w:t>
      </w:r>
      <w:r w:rsidR="001F4EFE">
        <w:t xml:space="preserve">, </w:t>
      </w:r>
      <w:r w:rsidR="004B3355">
        <w:lastRenderedPageBreak/>
        <w:t>rather</w:t>
      </w:r>
      <w:r w:rsidR="008C44D7">
        <w:t xml:space="preserve"> our</w:t>
      </w:r>
      <w:r w:rsidRPr="00304B2A">
        <w:t xml:space="preserve"> decision </w:t>
      </w:r>
      <w:r w:rsidR="00D762CD">
        <w:t xml:space="preserve">here </w:t>
      </w:r>
      <w:r w:rsidRPr="00304B2A">
        <w:t xml:space="preserve">is consistent with other expansion </w:t>
      </w:r>
      <w:r w:rsidR="008C44D7">
        <w:t>projects</w:t>
      </w:r>
      <w:r w:rsidR="008C44D7" w:rsidRPr="00304B2A">
        <w:t xml:space="preserve"> </w:t>
      </w:r>
      <w:r w:rsidRPr="00304B2A">
        <w:t>with existing pipeline operations.</w:t>
      </w:r>
      <w:r w:rsidRPr="00304B2A">
        <w:rPr>
          <w:rStyle w:val="FootnoteReference"/>
          <w:szCs w:val="26"/>
        </w:rPr>
        <w:footnoteReference w:id="91"/>
      </w:r>
    </w:p>
    <w:p w14:paraId="741C5222" w14:textId="201E66B3" w:rsidR="00624970" w:rsidRDefault="0006460C" w:rsidP="00624970">
      <w:pPr>
        <w:pStyle w:val="FERCparanumber"/>
      </w:pPr>
      <w:r>
        <w:t>Because Mountain Valle</w:t>
      </w:r>
      <w:r w:rsidR="001B5900">
        <w:t xml:space="preserve">y has not yet litigated a rate case, </w:t>
      </w:r>
      <w:r w:rsidR="00971B5F">
        <w:t xml:space="preserve">we </w:t>
      </w:r>
      <w:r w:rsidR="00176C0F">
        <w:t>apply the</w:t>
      </w:r>
      <w:r w:rsidR="00624970" w:rsidRPr="00304B2A">
        <w:t xml:space="preserve"> last applicable litigated ROE</w:t>
      </w:r>
      <w:r w:rsidR="006B77C0">
        <w:t>, which</w:t>
      </w:r>
      <w:r w:rsidR="00624970" w:rsidRPr="00304B2A">
        <w:t xml:space="preserve"> </w:t>
      </w:r>
      <w:r w:rsidR="006B77C0">
        <w:t>i</w:t>
      </w:r>
      <w:r w:rsidR="00624970" w:rsidRPr="00304B2A">
        <w:t xml:space="preserve">s from </w:t>
      </w:r>
      <w:r w:rsidR="00624970" w:rsidRPr="00304B2A">
        <w:rPr>
          <w:i/>
        </w:rPr>
        <w:t>Panhandle E. Pipe Line Company, LP</w:t>
      </w:r>
      <w:r w:rsidR="00624970" w:rsidRPr="00304B2A">
        <w:t xml:space="preserve">, where the Commission adopted </w:t>
      </w:r>
      <w:r w:rsidR="0054273B" w:rsidRPr="00304B2A">
        <w:t>a</w:t>
      </w:r>
      <w:r w:rsidR="00624970" w:rsidRPr="00304B2A">
        <w:t xml:space="preserve"> ROE of 11.25 %.</w:t>
      </w:r>
      <w:r w:rsidR="00624970" w:rsidRPr="00304B2A">
        <w:rPr>
          <w:b/>
          <w:vertAlign w:val="superscript"/>
        </w:rPr>
        <w:footnoteReference w:id="92"/>
      </w:r>
      <w:r w:rsidR="00624970" w:rsidRPr="00304B2A">
        <w:t xml:space="preserve">  Therefore, </w:t>
      </w:r>
      <w:r w:rsidR="00624970">
        <w:t>we</w:t>
      </w:r>
      <w:r w:rsidR="00624970" w:rsidRPr="00304B2A">
        <w:t xml:space="preserve"> </w:t>
      </w:r>
      <w:r w:rsidR="00624970">
        <w:t>will require Mountain Valley</w:t>
      </w:r>
      <w:r w:rsidR="00624970" w:rsidRPr="00304B2A">
        <w:t xml:space="preserve"> </w:t>
      </w:r>
      <w:r w:rsidR="00345605">
        <w:t xml:space="preserve">to </w:t>
      </w:r>
      <w:r w:rsidR="00624970">
        <w:t xml:space="preserve">use </w:t>
      </w:r>
      <w:r w:rsidR="0054273B" w:rsidRPr="00304B2A">
        <w:t>a</w:t>
      </w:r>
      <w:r w:rsidR="00624970" w:rsidRPr="00304B2A">
        <w:t xml:space="preserve"> ROE of 11.25% for the </w:t>
      </w:r>
      <w:r w:rsidR="00777CB0">
        <w:t>Amendment</w:t>
      </w:r>
      <w:r w:rsidR="00624970" w:rsidRPr="00304B2A">
        <w:t xml:space="preserve"> Project and revise its rates accordingly.</w:t>
      </w:r>
    </w:p>
    <w:p w14:paraId="3620BFC5" w14:textId="51666BBF" w:rsidR="00F82945" w:rsidRDefault="00D3523F" w:rsidP="00F82945">
      <w:pPr>
        <w:pStyle w:val="Heading3"/>
      </w:pPr>
      <w:bookmarkStart w:id="4" w:name="_Hlk209625651"/>
      <w:r>
        <w:t>Fuel</w:t>
      </w:r>
      <w:bookmarkEnd w:id="4"/>
    </w:p>
    <w:p w14:paraId="298626B5" w14:textId="5870C205" w:rsidR="008E6BCD" w:rsidRDefault="008E6BCD" w:rsidP="00CB39AF">
      <w:pPr>
        <w:pStyle w:val="FERCparanumber"/>
      </w:pPr>
      <w:r w:rsidRPr="008E6BCD">
        <w:t xml:space="preserve">Mountain Valley explains that because the </w:t>
      </w:r>
      <w:r w:rsidR="00777CB0">
        <w:t>Amendment</w:t>
      </w:r>
      <w:r w:rsidRPr="008E6BCD">
        <w:t xml:space="preserve"> Project proposal has eliminated the Lambert Compressor </w:t>
      </w:r>
      <w:r w:rsidR="009B75C2">
        <w:t>S</w:t>
      </w:r>
      <w:r w:rsidRPr="008E6BCD">
        <w:t xml:space="preserve">tation, a retainage factor to cover fuel is no longer necessary.  Instead, Mountain Valley proposes to initially retain 0.05% of gas received onto the Southgate System for lost and unaccounted for gas.  Mountain Valley states that it will track the actual lost and unaccounted for gas to provide transportation service on the </w:t>
      </w:r>
      <w:r w:rsidR="00777CB0">
        <w:t>Amendment</w:t>
      </w:r>
      <w:r w:rsidRPr="008E6BCD">
        <w:t xml:space="preserve"> Project facilities, consistent with section 6.28 of the General Terms and Conditions of its tariff.  We approve Mountain Valley’s revised fuel proposal.</w:t>
      </w:r>
    </w:p>
    <w:p w14:paraId="1A87C666" w14:textId="5D97C9E1" w:rsidR="008E6BCD" w:rsidRDefault="008E6BCD" w:rsidP="008E6BCD">
      <w:pPr>
        <w:pStyle w:val="Heading3"/>
      </w:pPr>
      <w:r>
        <w:t xml:space="preserve">Reporting </w:t>
      </w:r>
      <w:r w:rsidR="001306D6">
        <w:t>Incremental</w:t>
      </w:r>
      <w:r>
        <w:t xml:space="preserve"> Costs</w:t>
      </w:r>
    </w:p>
    <w:p w14:paraId="56337917" w14:textId="6078123F" w:rsidR="003B151E" w:rsidRDefault="00FE00A0" w:rsidP="003B151E">
      <w:pPr>
        <w:pStyle w:val="FERCparanumber"/>
      </w:pPr>
      <w:r>
        <w:t xml:space="preserve">Section </w:t>
      </w:r>
      <w:r w:rsidRPr="00FE00A0">
        <w:t>154.309 of the Commission’s regulations includes bookkeeping and accounting requirements applicable to all expansions for which incremental rates are charged.  The requirements ensure that costs are properly allocated between pipelines’ existing shippers and incremental expansion shippers.</w:t>
      </w:r>
      <w:r w:rsidRPr="00FE00A0">
        <w:rPr>
          <w:b/>
          <w:vertAlign w:val="superscript"/>
        </w:rPr>
        <w:footnoteReference w:id="93"/>
      </w:r>
      <w:r w:rsidRPr="00FE00A0">
        <w:rPr>
          <w:b/>
          <w:bCs/>
        </w:rPr>
        <w:t xml:space="preserve">  </w:t>
      </w:r>
      <w:r w:rsidRPr="00FE00A0">
        <w:t>Therefore,</w:t>
      </w:r>
      <w:r w:rsidRPr="00FE00A0">
        <w:rPr>
          <w:b/>
          <w:bCs/>
        </w:rPr>
        <w:t xml:space="preserve"> </w:t>
      </w:r>
      <w:r w:rsidRPr="00FE00A0">
        <w:t xml:space="preserve">we will continue to require Mountain Valley to keep separate books and accounting of costs and revenues attributable to the proposed services and capacity created by the </w:t>
      </w:r>
      <w:r w:rsidR="00777CB0">
        <w:t>Amendment</w:t>
      </w:r>
      <w:r w:rsidRPr="00FE00A0">
        <w:t xml:space="preserve"> Project, as required by section 154.309 of the Commission’s regulations.</w:t>
      </w:r>
      <w:r w:rsidRPr="00FE00A0">
        <w:rPr>
          <w:b/>
          <w:vertAlign w:val="superscript"/>
        </w:rPr>
        <w:footnoteReference w:id="94"/>
      </w:r>
      <w:r w:rsidRPr="00FE00A0">
        <w:t xml:space="preserve">  The books should be </w:t>
      </w:r>
      <w:r w:rsidRPr="00FE00A0">
        <w:lastRenderedPageBreak/>
        <w:t>maintained with applicable cross-reference and the information must be in sufficient detail so that the data can be identified in Statements G, I, and J in any future NGA section 4 or 5 rate case, and the information must be provided consistent with Order No.</w:t>
      </w:r>
      <w:r w:rsidR="00A51009">
        <w:t> </w:t>
      </w:r>
      <w:r w:rsidRPr="00FE00A0">
        <w:t>710.</w:t>
      </w:r>
      <w:r w:rsidRPr="00FE00A0">
        <w:rPr>
          <w:b/>
          <w:vertAlign w:val="superscript"/>
        </w:rPr>
        <w:footnoteReference w:id="95"/>
      </w:r>
    </w:p>
    <w:p w14:paraId="0FB947CB" w14:textId="0C7EFB8E" w:rsidR="003B151E" w:rsidRDefault="003B151E" w:rsidP="003B151E">
      <w:pPr>
        <w:pStyle w:val="Heading3"/>
      </w:pPr>
      <w:r>
        <w:t>Neg</w:t>
      </w:r>
      <w:r w:rsidR="009706F7">
        <w:t>otiated Rate Agreements</w:t>
      </w:r>
    </w:p>
    <w:p w14:paraId="7E853825" w14:textId="0C87D998" w:rsidR="009706F7" w:rsidRDefault="00282A36" w:rsidP="0038100D">
      <w:pPr>
        <w:pStyle w:val="FERCparanumber"/>
      </w:pPr>
      <w:r>
        <w:t xml:space="preserve">Mountain </w:t>
      </w:r>
      <w:r w:rsidRPr="00CB39AF">
        <w:t>Valley proposes to provide service to the shippers under negotiated rate agreements.  Mountain Valley must file either the negotiated rate agreements or tariff records setting forth the essential elements of the agreements in accordance with the Alternative Rate Policy Statement</w:t>
      </w:r>
      <w:r w:rsidRPr="00CB39AF">
        <w:rPr>
          <w:b/>
          <w:vertAlign w:val="superscript"/>
        </w:rPr>
        <w:footnoteReference w:id="96"/>
      </w:r>
      <w:r w:rsidRPr="00CB39AF">
        <w:t xml:space="preserve"> and the Commission’s negotiated rate policies.</w:t>
      </w:r>
      <w:r w:rsidRPr="00CB39AF">
        <w:rPr>
          <w:b/>
          <w:vertAlign w:val="superscript"/>
        </w:rPr>
        <w:footnoteReference w:id="97"/>
      </w:r>
    </w:p>
    <w:p w14:paraId="001A717E" w14:textId="6D7B4EE8" w:rsidR="00D3523F" w:rsidRPr="00D3523F" w:rsidRDefault="009706F7" w:rsidP="001306D6">
      <w:pPr>
        <w:pStyle w:val="Heading3"/>
      </w:pPr>
      <w:r w:rsidRPr="001306D6">
        <w:rPr>
          <w:i/>
          <w:iCs/>
        </w:rPr>
        <w:t>Pro Forma</w:t>
      </w:r>
      <w:r>
        <w:t xml:space="preserve"> </w:t>
      </w:r>
      <w:r w:rsidR="0038100D">
        <w:t>Tariff</w:t>
      </w:r>
      <w:r>
        <w:t xml:space="preserve"> Records</w:t>
      </w:r>
    </w:p>
    <w:p w14:paraId="176D1552" w14:textId="1D2A7DD1" w:rsidR="004620E3" w:rsidRPr="00D060D2" w:rsidRDefault="001306D6" w:rsidP="00B717BF">
      <w:pPr>
        <w:pStyle w:val="FERCparanumber"/>
      </w:pPr>
      <w:r w:rsidRPr="00877F18">
        <w:t xml:space="preserve">Mountain Valley included in Exhibit P </w:t>
      </w:r>
      <w:r w:rsidR="007579F1">
        <w:t xml:space="preserve">of its application </w:t>
      </w:r>
      <w:r w:rsidRPr="00877F18">
        <w:t xml:space="preserve">revised </w:t>
      </w:r>
      <w:r w:rsidRPr="00877F18">
        <w:rPr>
          <w:i/>
        </w:rPr>
        <w:t xml:space="preserve">pro forma </w:t>
      </w:r>
      <w:r w:rsidRPr="00877F18">
        <w:t>tariff records reflecting the addition of the separate Southgate System rate zone</w:t>
      </w:r>
      <w:r w:rsidR="0091088B">
        <w:t>,</w:t>
      </w:r>
      <w:r>
        <w:t xml:space="preserve"> the </w:t>
      </w:r>
      <w:r w:rsidRPr="0058616E">
        <w:t>inclusion of Rate Schedule EFT service</w:t>
      </w:r>
      <w:r>
        <w:t>,</w:t>
      </w:r>
      <w:r w:rsidRPr="00504885">
        <w:t xml:space="preserve"> </w:t>
      </w:r>
      <w:r>
        <w:t xml:space="preserve">and </w:t>
      </w:r>
      <w:r w:rsidR="0091088B">
        <w:t xml:space="preserve">other </w:t>
      </w:r>
      <w:r>
        <w:t xml:space="preserve">miscellaneous changes to reflect the addition of </w:t>
      </w:r>
      <w:r w:rsidRPr="0058616E">
        <w:t xml:space="preserve">the </w:t>
      </w:r>
      <w:r w:rsidR="00777CB0">
        <w:t>Amendment</w:t>
      </w:r>
      <w:r w:rsidRPr="0058616E">
        <w:t xml:space="preserve"> Project</w:t>
      </w:r>
      <w:r w:rsidRPr="00877F18">
        <w:t>.  We</w:t>
      </w:r>
      <w:r>
        <w:t xml:space="preserve"> have reviewed Mountain</w:t>
      </w:r>
      <w:r w:rsidRPr="00877F18">
        <w:t xml:space="preserve"> </w:t>
      </w:r>
      <w:r>
        <w:t xml:space="preserve">Valley’s </w:t>
      </w:r>
      <w:r w:rsidRPr="00877F18">
        <w:rPr>
          <w:i/>
        </w:rPr>
        <w:t>pro forma</w:t>
      </w:r>
      <w:r w:rsidRPr="00877F18">
        <w:t xml:space="preserve"> tariff records </w:t>
      </w:r>
      <w:r w:rsidRPr="00070936">
        <w:t>and</w:t>
      </w:r>
      <w:r>
        <w:t xml:space="preserve"> find </w:t>
      </w:r>
      <w:r w:rsidR="0091088B">
        <w:t xml:space="preserve">that </w:t>
      </w:r>
      <w:r>
        <w:t>they are consistent with current Commission policy</w:t>
      </w:r>
      <w:r w:rsidRPr="00877F18">
        <w:t xml:space="preserve"> and direct Mountain Valley to file the tariff records </w:t>
      </w:r>
      <w:r>
        <w:t xml:space="preserve">before the </w:t>
      </w:r>
      <w:r w:rsidR="00777CB0">
        <w:t>Amendment</w:t>
      </w:r>
      <w:r>
        <w:t xml:space="preserve"> Project’s in-service date.</w:t>
      </w:r>
    </w:p>
    <w:p w14:paraId="4ED7BABD" w14:textId="79F5A5D7" w:rsidR="004620E3" w:rsidRDefault="004620E3" w:rsidP="004620E3">
      <w:pPr>
        <w:pStyle w:val="Heading2"/>
      </w:pPr>
      <w:r>
        <w:t>Environment</w:t>
      </w:r>
      <w:r w:rsidR="00D633B6">
        <w:t>al Impacts</w:t>
      </w:r>
    </w:p>
    <w:p w14:paraId="0B555FA1" w14:textId="073ED6C5" w:rsidR="00AC4E31" w:rsidRPr="007F29C3" w:rsidRDefault="00AC4E31" w:rsidP="00AC4E31">
      <w:pPr>
        <w:pStyle w:val="FERCparanumber"/>
        <w:rPr>
          <w:szCs w:val="26"/>
        </w:rPr>
      </w:pPr>
      <w:r w:rsidRPr="007F29C3">
        <w:t xml:space="preserve">On </w:t>
      </w:r>
      <w:r w:rsidRPr="007F29C3">
        <w:rPr>
          <w:szCs w:val="26"/>
        </w:rPr>
        <w:t xml:space="preserve">May 22, 2025, the Commission issued a </w:t>
      </w:r>
      <w:r w:rsidRPr="00B9158D">
        <w:rPr>
          <w:i/>
          <w:iCs/>
        </w:rPr>
        <w:t>Notice of Scoping Period Requesting Comments on Environmental Issues for the Proposed Mountain Valley Pipeline Southgate Amendment Project, and Notice of Public Scoping Session</w:t>
      </w:r>
      <w:r w:rsidRPr="007F29C3">
        <w:rPr>
          <w:szCs w:val="26"/>
        </w:rPr>
        <w:t xml:space="preserve"> (Notice of Scoping).  The Notice of Scoping was published in the </w:t>
      </w:r>
      <w:r w:rsidRPr="00391204">
        <w:rPr>
          <w:i/>
        </w:rPr>
        <w:t>Federal Register</w:t>
      </w:r>
      <w:r w:rsidRPr="006F1BCA">
        <w:rPr>
          <w:rStyle w:val="FootnoteReference"/>
        </w:rPr>
        <w:footnoteReference w:id="98"/>
      </w:r>
      <w:r w:rsidRPr="006F1BCA">
        <w:rPr>
          <w:rStyle w:val="FootnoteReference"/>
        </w:rPr>
        <w:t xml:space="preserve"> </w:t>
      </w:r>
      <w:r w:rsidRPr="007F29C3">
        <w:rPr>
          <w:szCs w:val="26"/>
        </w:rPr>
        <w:t xml:space="preserve">and mailed to </w:t>
      </w:r>
      <w:r w:rsidRPr="007F29C3">
        <w:rPr>
          <w:szCs w:val="26"/>
        </w:rPr>
        <w:lastRenderedPageBreak/>
        <w:t xml:space="preserve">interested parties including federal, state, and local officials; agency representatives; environmental and public interest groups; Native American </w:t>
      </w:r>
      <w:r w:rsidR="00761ECF">
        <w:rPr>
          <w:szCs w:val="26"/>
        </w:rPr>
        <w:t>T</w:t>
      </w:r>
      <w:r w:rsidRPr="007F29C3">
        <w:rPr>
          <w:szCs w:val="26"/>
        </w:rPr>
        <w:t>ribes; local libraries and newspapers; and affected property owners.  In response to the N</w:t>
      </w:r>
      <w:r w:rsidR="002100A7">
        <w:rPr>
          <w:szCs w:val="26"/>
        </w:rPr>
        <w:t>otice of Application</w:t>
      </w:r>
      <w:r w:rsidRPr="007F29C3">
        <w:rPr>
          <w:szCs w:val="26"/>
        </w:rPr>
        <w:t xml:space="preserve"> and Notice of Scoping, the Commission received </w:t>
      </w:r>
      <w:r w:rsidR="00494348">
        <w:rPr>
          <w:szCs w:val="26"/>
        </w:rPr>
        <w:t>numer</w:t>
      </w:r>
      <w:r w:rsidR="00E3369E">
        <w:rPr>
          <w:szCs w:val="26"/>
        </w:rPr>
        <w:t>ous</w:t>
      </w:r>
      <w:r w:rsidRPr="007F29C3">
        <w:rPr>
          <w:szCs w:val="26"/>
        </w:rPr>
        <w:t xml:space="preserve"> filings from elected officials, state agencies, city governments, individuals, environmental and public interest groups/organizations, and companies.  </w:t>
      </w:r>
    </w:p>
    <w:p w14:paraId="5690BC0F" w14:textId="6F59AFBA" w:rsidR="00ED6E65" w:rsidRPr="007F29C3" w:rsidRDefault="00ED6E65" w:rsidP="00ED6E65">
      <w:pPr>
        <w:pStyle w:val="FERCparanumber"/>
        <w:rPr>
          <w:szCs w:val="26"/>
        </w:rPr>
      </w:pPr>
      <w:r w:rsidRPr="007F29C3">
        <w:t xml:space="preserve">The primary issues raised </w:t>
      </w:r>
      <w:r w:rsidRPr="007F29C3">
        <w:rPr>
          <w:szCs w:val="26"/>
        </w:rPr>
        <w:t xml:space="preserve">during the scoping process included previous instances of non-compliance by Mountain Valley during construction of its </w:t>
      </w:r>
      <w:r w:rsidR="0004364D">
        <w:rPr>
          <w:szCs w:val="26"/>
        </w:rPr>
        <w:t>Mainline System</w:t>
      </w:r>
      <w:r w:rsidRPr="007F29C3">
        <w:rPr>
          <w:szCs w:val="26"/>
        </w:rPr>
        <w:t>, impacts on water quality, environmental justice, sedimentation, impacts on vegetation, impacts on wildlife, air quality (including climate change), safety, and cumulative effects.</w:t>
      </w:r>
    </w:p>
    <w:p w14:paraId="78C2E1BE" w14:textId="4DA6BF48" w:rsidR="000D32D4" w:rsidRPr="007F29C3" w:rsidRDefault="000D32D4" w:rsidP="000D32D4">
      <w:pPr>
        <w:pStyle w:val="FERCparanumber"/>
        <w:rPr>
          <w:szCs w:val="26"/>
        </w:rPr>
      </w:pPr>
      <w:r w:rsidRPr="007F29C3">
        <w:t>Pursuant to the</w:t>
      </w:r>
      <w:r w:rsidRPr="007F29C3">
        <w:rPr>
          <w:szCs w:val="26"/>
        </w:rPr>
        <w:t xml:space="preserve"> National Environmental Policy Act of 1969 (NEPA),</w:t>
      </w:r>
      <w:r w:rsidRPr="006F1BCA">
        <w:rPr>
          <w:rStyle w:val="FootnoteReference"/>
        </w:rPr>
        <w:footnoteReference w:id="99"/>
      </w:r>
      <w:r w:rsidRPr="007F29C3">
        <w:rPr>
          <w:szCs w:val="26"/>
        </w:rPr>
        <w:t xml:space="preserve"> Commission staff prepared an </w:t>
      </w:r>
      <w:r w:rsidRPr="008E16B7">
        <w:rPr>
          <w:szCs w:val="26"/>
        </w:rPr>
        <w:t>EA</w:t>
      </w:r>
      <w:r w:rsidRPr="007F29C3">
        <w:rPr>
          <w:szCs w:val="26"/>
        </w:rPr>
        <w:t xml:space="preserve"> for Mountain Valley’s proposal, which was issued on October 3, 2025.</w:t>
      </w:r>
      <w:r w:rsidRPr="006F1BCA">
        <w:rPr>
          <w:rStyle w:val="FootnoteReference"/>
        </w:rPr>
        <w:footnoteReference w:id="100"/>
      </w:r>
      <w:r w:rsidRPr="007F29C3">
        <w:rPr>
          <w:szCs w:val="26"/>
        </w:rPr>
        <w:t xml:space="preserve">  The Notice of Availability of the EA established a 30-day comment period.  </w:t>
      </w:r>
      <w:r w:rsidR="00132882">
        <w:rPr>
          <w:szCs w:val="26"/>
        </w:rPr>
        <w:t>It</w:t>
      </w:r>
      <w:r w:rsidRPr="007F29C3">
        <w:rPr>
          <w:szCs w:val="26"/>
        </w:rPr>
        <w:t xml:space="preserve"> was mailed to interested parties including federal, state, and local officials; agency representatives; environmental and public interest groups; Native American tribes; local libraries and newspapers; and affected property owners.  The EA was prepared with the cooperation of the U.S. Fish and Wildlife Service (FWS).  The analysis in the EA addresses geology; soils; water resources; wetlands; vegetation; fisheries; wildlife; special status, threatened, and endangered species; land use; visual resources; cultural resources; air quality; noise; reliability and safety; socioeconomics; cumulative effects, including climate change; and alternatives.  The EA addressed all environmental comments received during scoping and concluded that approval of the </w:t>
      </w:r>
      <w:r w:rsidR="00777CB0">
        <w:rPr>
          <w:szCs w:val="26"/>
        </w:rPr>
        <w:t>Amendment</w:t>
      </w:r>
      <w:r w:rsidRPr="007F29C3">
        <w:rPr>
          <w:szCs w:val="26"/>
        </w:rPr>
        <w:t xml:space="preserve"> Project would not constitute a major federal action significantly affecting the quality of the human environment.</w:t>
      </w:r>
      <w:r w:rsidRPr="006F1BCA">
        <w:rPr>
          <w:rStyle w:val="FootnoteReference"/>
        </w:rPr>
        <w:footnoteReference w:id="101"/>
      </w:r>
    </w:p>
    <w:p w14:paraId="583AE9EA" w14:textId="35F4008B" w:rsidR="00D3696B" w:rsidRDefault="00D90AD2" w:rsidP="009C7D53">
      <w:pPr>
        <w:pStyle w:val="FERCparanumber"/>
        <w:rPr>
          <w:szCs w:val="26"/>
        </w:rPr>
      </w:pPr>
      <w:r w:rsidRPr="00D90AD2">
        <w:lastRenderedPageBreak/>
        <w:t xml:space="preserve">Under NEPA, the Commission considers impacts to all potentially affected communities.  </w:t>
      </w:r>
      <w:r w:rsidR="000D32D4" w:rsidRPr="007F29C3">
        <w:t>Project activities that would affect local communities include</w:t>
      </w:r>
      <w:r w:rsidR="000D32D4" w:rsidRPr="007F29C3">
        <w:rPr>
          <w:szCs w:val="26"/>
        </w:rPr>
        <w:t xml:space="preserve"> construction and operation of natural gas pipeline outside of </w:t>
      </w:r>
      <w:r w:rsidR="000D32D4">
        <w:rPr>
          <w:szCs w:val="26"/>
        </w:rPr>
        <w:t xml:space="preserve">the previously </w:t>
      </w:r>
      <w:r w:rsidR="000D32D4" w:rsidRPr="007F29C3">
        <w:rPr>
          <w:szCs w:val="26"/>
        </w:rPr>
        <w:t xml:space="preserve">certificated right-of-way at </w:t>
      </w:r>
      <w:r w:rsidR="00C80BB9">
        <w:rPr>
          <w:szCs w:val="26"/>
        </w:rPr>
        <w:t>ten</w:t>
      </w:r>
      <w:r w:rsidR="000D32D4" w:rsidRPr="007F29C3">
        <w:rPr>
          <w:szCs w:val="26"/>
        </w:rPr>
        <w:t xml:space="preserve"> locations and construction and operation of two new interconnects (meter stations).  Construction of the </w:t>
      </w:r>
      <w:r w:rsidR="00777CB0">
        <w:rPr>
          <w:szCs w:val="26"/>
        </w:rPr>
        <w:t>Amendment</w:t>
      </w:r>
      <w:r w:rsidR="000D32D4" w:rsidRPr="007F29C3">
        <w:rPr>
          <w:szCs w:val="26"/>
        </w:rPr>
        <w:t xml:space="preserve"> Project would affect about 59.3 acres of land </w:t>
      </w:r>
      <w:r w:rsidR="006E3106">
        <w:rPr>
          <w:szCs w:val="26"/>
        </w:rPr>
        <w:t>outside</w:t>
      </w:r>
      <w:r w:rsidR="000D32D4" w:rsidRPr="007F29C3">
        <w:rPr>
          <w:szCs w:val="26"/>
        </w:rPr>
        <w:t xml:space="preserve"> the previously-certificated footprint, and operation of the </w:t>
      </w:r>
      <w:r w:rsidR="00777CB0">
        <w:rPr>
          <w:szCs w:val="26"/>
        </w:rPr>
        <w:t>Amendment</w:t>
      </w:r>
      <w:r w:rsidR="000D32D4" w:rsidRPr="007F29C3">
        <w:rPr>
          <w:szCs w:val="26"/>
        </w:rPr>
        <w:t xml:space="preserve"> Project would affect about 15.8 acres of land </w:t>
      </w:r>
      <w:r w:rsidR="00775B12">
        <w:rPr>
          <w:szCs w:val="26"/>
        </w:rPr>
        <w:t>outside</w:t>
      </w:r>
      <w:r w:rsidR="000D32D4" w:rsidRPr="007F29C3">
        <w:rPr>
          <w:szCs w:val="26"/>
        </w:rPr>
        <w:t xml:space="preserve"> the previously-certificated footprint.</w:t>
      </w:r>
      <w:r w:rsidR="000D32D4" w:rsidRPr="006F1BCA">
        <w:rPr>
          <w:rStyle w:val="FootnoteReference"/>
        </w:rPr>
        <w:footnoteReference w:id="102"/>
      </w:r>
      <w:r w:rsidR="000D32D4" w:rsidRPr="007F29C3">
        <w:rPr>
          <w:szCs w:val="26"/>
        </w:rPr>
        <w:t xml:space="preserve">  </w:t>
      </w:r>
    </w:p>
    <w:p w14:paraId="71275EEB" w14:textId="5B071317" w:rsidR="00844E38" w:rsidRDefault="00FD0C13" w:rsidP="009C7D53">
      <w:pPr>
        <w:pStyle w:val="FERCparanumber"/>
        <w:rPr>
          <w:szCs w:val="26"/>
        </w:rPr>
      </w:pPr>
      <w:r w:rsidRPr="007F29C3">
        <w:t>As described in the EA</w:t>
      </w:r>
      <w:r w:rsidR="00674CB8">
        <w:t>,</w:t>
      </w:r>
      <w:r w:rsidRPr="009C7D53">
        <w:rPr>
          <w:szCs w:val="26"/>
        </w:rPr>
        <w:t xml:space="preserve"> </w:t>
      </w:r>
      <w:r w:rsidR="0091566C" w:rsidRPr="009C7D53">
        <w:rPr>
          <w:szCs w:val="26"/>
        </w:rPr>
        <w:t xml:space="preserve">the project’s </w:t>
      </w:r>
      <w:r w:rsidRPr="009C7D53">
        <w:rPr>
          <w:szCs w:val="26"/>
        </w:rPr>
        <w:t>potential effects on local communities during construction include short-term</w:t>
      </w:r>
      <w:r w:rsidRPr="009C7D53" w:rsidDel="00C54BC6">
        <w:rPr>
          <w:szCs w:val="26"/>
        </w:rPr>
        <w:t xml:space="preserve"> </w:t>
      </w:r>
      <w:r w:rsidRPr="009C7D53">
        <w:rPr>
          <w:szCs w:val="26"/>
        </w:rPr>
        <w:t xml:space="preserve">visual effects, air effects, and noise effects, all of which would be temporary and less than significant.  </w:t>
      </w:r>
      <w:r w:rsidR="008C60B5">
        <w:rPr>
          <w:szCs w:val="26"/>
        </w:rPr>
        <w:t xml:space="preserve">The EA explains that visual </w:t>
      </w:r>
      <w:r w:rsidR="00D37356">
        <w:rPr>
          <w:szCs w:val="26"/>
        </w:rPr>
        <w:t>effects</w:t>
      </w:r>
      <w:r w:rsidR="002F1330">
        <w:rPr>
          <w:szCs w:val="26"/>
        </w:rPr>
        <w:t xml:space="preserve"> wo</w:t>
      </w:r>
      <w:r w:rsidR="002F1330" w:rsidRPr="002F1330">
        <w:rPr>
          <w:szCs w:val="26"/>
        </w:rPr>
        <w:t>uld occur during construction due to the presence of construction equipment and the use of temporary workspace</w:t>
      </w:r>
      <w:r w:rsidR="002C091A">
        <w:rPr>
          <w:szCs w:val="26"/>
        </w:rPr>
        <w:t>.</w:t>
      </w:r>
      <w:r w:rsidR="002C091A">
        <w:rPr>
          <w:rStyle w:val="FootnoteReference"/>
          <w:szCs w:val="26"/>
        </w:rPr>
        <w:footnoteReference w:id="103"/>
      </w:r>
      <w:r w:rsidR="0027138C">
        <w:rPr>
          <w:szCs w:val="26"/>
        </w:rPr>
        <w:t xml:space="preserve">  With respect to </w:t>
      </w:r>
      <w:r w:rsidR="008E18C3">
        <w:rPr>
          <w:szCs w:val="26"/>
        </w:rPr>
        <w:t>construction</w:t>
      </w:r>
      <w:r w:rsidR="0073044E">
        <w:rPr>
          <w:szCs w:val="26"/>
        </w:rPr>
        <w:t xml:space="preserve">-related </w:t>
      </w:r>
      <w:r w:rsidR="0027138C">
        <w:rPr>
          <w:szCs w:val="26"/>
        </w:rPr>
        <w:t xml:space="preserve">air impacts, </w:t>
      </w:r>
      <w:r w:rsidR="00DA6CB7" w:rsidRPr="00DA6CB7">
        <w:rPr>
          <w:szCs w:val="26"/>
        </w:rPr>
        <w:t>the EA describes mitigation measures to minimize fugitive dust</w:t>
      </w:r>
      <w:r w:rsidR="00DA6CB7">
        <w:rPr>
          <w:szCs w:val="26"/>
        </w:rPr>
        <w:t>.</w:t>
      </w:r>
      <w:r w:rsidR="00DA6CB7">
        <w:rPr>
          <w:rStyle w:val="FootnoteReference"/>
          <w:szCs w:val="26"/>
        </w:rPr>
        <w:footnoteReference w:id="104"/>
      </w:r>
      <w:r w:rsidR="00DA6CB7">
        <w:rPr>
          <w:szCs w:val="26"/>
        </w:rPr>
        <w:t xml:space="preserve">  Finally, with respect to noise impacts from construction, the EA </w:t>
      </w:r>
      <w:r w:rsidR="00367ACA">
        <w:rPr>
          <w:szCs w:val="26"/>
        </w:rPr>
        <w:t>recommends, and this order requires, that Mountain Valley</w:t>
      </w:r>
      <w:r w:rsidR="005C6C6A">
        <w:rPr>
          <w:szCs w:val="26"/>
        </w:rPr>
        <w:t xml:space="preserve"> file mitigation measures to red</w:t>
      </w:r>
      <w:r w:rsidR="00542211">
        <w:rPr>
          <w:szCs w:val="26"/>
        </w:rPr>
        <w:t xml:space="preserve">uce nighttime noise levels associated </w:t>
      </w:r>
      <w:r w:rsidR="0008476C">
        <w:rPr>
          <w:szCs w:val="26"/>
        </w:rPr>
        <w:t>with conventional bore operations</w:t>
      </w:r>
      <w:r w:rsidR="008E052C">
        <w:rPr>
          <w:szCs w:val="26"/>
        </w:rPr>
        <w:t xml:space="preserve"> to meet the Commission’s sound level criterion</w:t>
      </w:r>
      <w:r w:rsidR="0008476C">
        <w:rPr>
          <w:szCs w:val="26"/>
        </w:rPr>
        <w:t>.</w:t>
      </w:r>
      <w:r w:rsidR="0008476C">
        <w:rPr>
          <w:rStyle w:val="FootnoteReference"/>
          <w:szCs w:val="26"/>
        </w:rPr>
        <w:footnoteReference w:id="105"/>
      </w:r>
    </w:p>
    <w:p w14:paraId="6D45B514" w14:textId="24967CC6" w:rsidR="0096506F" w:rsidRDefault="00FD0C13" w:rsidP="009C7D53">
      <w:pPr>
        <w:pStyle w:val="FERCparanumber"/>
        <w:rPr>
          <w:szCs w:val="26"/>
        </w:rPr>
      </w:pPr>
      <w:r w:rsidRPr="007F29C3">
        <w:t>The EA finds that operation of the</w:t>
      </w:r>
      <w:r w:rsidRPr="009C7D53">
        <w:rPr>
          <w:szCs w:val="26"/>
        </w:rPr>
        <w:t xml:space="preserve"> </w:t>
      </w:r>
      <w:r w:rsidR="00777CB0">
        <w:rPr>
          <w:szCs w:val="26"/>
        </w:rPr>
        <w:t>Amendment</w:t>
      </w:r>
      <w:r w:rsidRPr="009C7D53">
        <w:rPr>
          <w:szCs w:val="26"/>
        </w:rPr>
        <w:t xml:space="preserve"> Project would result in visual effects, air effects, and noise effects, all of which would be less than significant.</w:t>
      </w:r>
      <w:r w:rsidRPr="007F29C3">
        <w:rPr>
          <w:rStyle w:val="FootnoteReference"/>
        </w:rPr>
        <w:t xml:space="preserve"> </w:t>
      </w:r>
      <w:r w:rsidRPr="009C7D53">
        <w:rPr>
          <w:szCs w:val="26"/>
        </w:rPr>
        <w:t xml:space="preserve"> </w:t>
      </w:r>
      <w:r w:rsidR="00A76094">
        <w:rPr>
          <w:szCs w:val="26"/>
        </w:rPr>
        <w:t>It</w:t>
      </w:r>
      <w:r w:rsidR="00210CE2">
        <w:rPr>
          <w:szCs w:val="26"/>
        </w:rPr>
        <w:t xml:space="preserve"> explains that vi</w:t>
      </w:r>
      <w:r w:rsidR="005012CD">
        <w:rPr>
          <w:szCs w:val="26"/>
        </w:rPr>
        <w:t xml:space="preserve">sual impacts from the aboveground facilities </w:t>
      </w:r>
      <w:r w:rsidR="005E7D8B">
        <w:rPr>
          <w:szCs w:val="26"/>
        </w:rPr>
        <w:t xml:space="preserve">would be </w:t>
      </w:r>
      <w:r w:rsidR="007A411B">
        <w:rPr>
          <w:szCs w:val="26"/>
        </w:rPr>
        <w:t xml:space="preserve">mitigated </w:t>
      </w:r>
      <w:r w:rsidR="00EF084A">
        <w:rPr>
          <w:szCs w:val="26"/>
        </w:rPr>
        <w:t>as existing ve</w:t>
      </w:r>
      <w:r w:rsidR="00F569D4">
        <w:rPr>
          <w:szCs w:val="26"/>
        </w:rPr>
        <w:t>getation would provide some screening</w:t>
      </w:r>
      <w:r w:rsidR="004C026B">
        <w:rPr>
          <w:szCs w:val="26"/>
        </w:rPr>
        <w:t>.</w:t>
      </w:r>
      <w:r w:rsidR="004C026B">
        <w:rPr>
          <w:rStyle w:val="FootnoteReference"/>
          <w:szCs w:val="26"/>
        </w:rPr>
        <w:footnoteReference w:id="106"/>
      </w:r>
      <w:r w:rsidR="00196FD7">
        <w:rPr>
          <w:szCs w:val="26"/>
        </w:rPr>
        <w:t xml:space="preserve">  Regarding air </w:t>
      </w:r>
      <w:r w:rsidR="00DC669A">
        <w:rPr>
          <w:szCs w:val="26"/>
        </w:rPr>
        <w:t>impacts</w:t>
      </w:r>
      <w:r w:rsidR="00196FD7">
        <w:rPr>
          <w:szCs w:val="26"/>
        </w:rPr>
        <w:t xml:space="preserve">, </w:t>
      </w:r>
      <w:r w:rsidR="00DC669A">
        <w:rPr>
          <w:szCs w:val="26"/>
        </w:rPr>
        <w:t>t</w:t>
      </w:r>
      <w:r w:rsidR="00DC669A" w:rsidRPr="00DC669A">
        <w:rPr>
          <w:szCs w:val="26"/>
        </w:rPr>
        <w:t>he EA finds that operation of the project would not have significant impacts on local or regional air quality</w:t>
      </w:r>
      <w:r w:rsidR="00A76094">
        <w:rPr>
          <w:szCs w:val="26"/>
        </w:rPr>
        <w:t>,</w:t>
      </w:r>
      <w:r w:rsidR="00DC669A" w:rsidRPr="00DC669A">
        <w:rPr>
          <w:szCs w:val="26"/>
        </w:rPr>
        <w:t xml:space="preserve"> describes monitoring requirements</w:t>
      </w:r>
      <w:r w:rsidR="008C623E">
        <w:rPr>
          <w:szCs w:val="26"/>
        </w:rPr>
        <w:t xml:space="preserve">, and explains that the </w:t>
      </w:r>
      <w:r w:rsidR="00777CB0">
        <w:rPr>
          <w:szCs w:val="26"/>
        </w:rPr>
        <w:t>Amendment</w:t>
      </w:r>
      <w:r w:rsidR="0054273B">
        <w:rPr>
          <w:szCs w:val="26"/>
        </w:rPr>
        <w:t xml:space="preserve"> </w:t>
      </w:r>
      <w:r w:rsidR="008C623E">
        <w:rPr>
          <w:szCs w:val="26"/>
        </w:rPr>
        <w:t xml:space="preserve">Project would </w:t>
      </w:r>
      <w:r w:rsidR="001964EE">
        <w:rPr>
          <w:szCs w:val="26"/>
        </w:rPr>
        <w:t>have fewer emissions than the originally</w:t>
      </w:r>
      <w:r w:rsidR="008A730B">
        <w:rPr>
          <w:szCs w:val="26"/>
        </w:rPr>
        <w:t>-</w:t>
      </w:r>
      <w:r w:rsidR="001964EE">
        <w:rPr>
          <w:szCs w:val="26"/>
        </w:rPr>
        <w:t xml:space="preserve">certified project due to the elimination of </w:t>
      </w:r>
      <w:r w:rsidR="001964EE">
        <w:rPr>
          <w:szCs w:val="26"/>
        </w:rPr>
        <w:lastRenderedPageBreak/>
        <w:t>the Lambert Compressor Station</w:t>
      </w:r>
      <w:r w:rsidR="00DC669A">
        <w:rPr>
          <w:szCs w:val="26"/>
        </w:rPr>
        <w:t>.</w:t>
      </w:r>
      <w:r w:rsidR="00DC669A">
        <w:rPr>
          <w:rStyle w:val="FootnoteReference"/>
          <w:szCs w:val="26"/>
        </w:rPr>
        <w:footnoteReference w:id="107"/>
      </w:r>
      <w:r w:rsidR="00DC669A" w:rsidRPr="00DC669A" w:rsidDel="00F35B8A">
        <w:rPr>
          <w:szCs w:val="26"/>
        </w:rPr>
        <w:t xml:space="preserve"> </w:t>
      </w:r>
      <w:r w:rsidR="001964EE">
        <w:rPr>
          <w:szCs w:val="26"/>
        </w:rPr>
        <w:t xml:space="preserve"> As to noise impacts,</w:t>
      </w:r>
      <w:r w:rsidR="009A6665">
        <w:rPr>
          <w:szCs w:val="26"/>
        </w:rPr>
        <w:t xml:space="preserve"> the EA explains that </w:t>
      </w:r>
      <w:r w:rsidR="00DA27E2">
        <w:rPr>
          <w:szCs w:val="26"/>
        </w:rPr>
        <w:t xml:space="preserve">noise </w:t>
      </w:r>
      <w:r w:rsidR="0077499D">
        <w:rPr>
          <w:szCs w:val="26"/>
        </w:rPr>
        <w:t xml:space="preserve">associated with operation </w:t>
      </w:r>
      <w:r w:rsidR="001C34ED">
        <w:rPr>
          <w:szCs w:val="26"/>
        </w:rPr>
        <w:t xml:space="preserve">of the project would be below the Commission’s sound level </w:t>
      </w:r>
      <w:r w:rsidR="00C9076F">
        <w:rPr>
          <w:szCs w:val="26"/>
        </w:rPr>
        <w:t>criterion</w:t>
      </w:r>
      <w:r w:rsidR="001C34ED">
        <w:rPr>
          <w:szCs w:val="26"/>
        </w:rPr>
        <w:t>.</w:t>
      </w:r>
      <w:r w:rsidR="001C34ED">
        <w:rPr>
          <w:rStyle w:val="FootnoteReference"/>
          <w:szCs w:val="26"/>
        </w:rPr>
        <w:footnoteReference w:id="108"/>
      </w:r>
      <w:r w:rsidR="001964EE">
        <w:rPr>
          <w:szCs w:val="26"/>
        </w:rPr>
        <w:t xml:space="preserve"> </w:t>
      </w:r>
    </w:p>
    <w:p w14:paraId="664F230A" w14:textId="65E069BF" w:rsidR="00FD0C13" w:rsidRPr="009C7D53" w:rsidRDefault="00FD0C13" w:rsidP="009C7D53">
      <w:pPr>
        <w:pStyle w:val="FERCparanumber"/>
        <w:rPr>
          <w:szCs w:val="26"/>
        </w:rPr>
      </w:pPr>
      <w:r w:rsidRPr="009C7D53">
        <w:rPr>
          <w:szCs w:val="26"/>
        </w:rPr>
        <w:t>The EA recommended implementation of Mountain Valley’s proposed construction procedures and mitigation measures and Commission staff recommendations,</w:t>
      </w:r>
      <w:r w:rsidRPr="006F1BCA">
        <w:rPr>
          <w:rStyle w:val="FootnoteReference"/>
        </w:rPr>
        <w:footnoteReference w:id="109"/>
      </w:r>
      <w:r w:rsidRPr="007F29C3">
        <w:rPr>
          <w:rStyle w:val="FootnoteReference"/>
        </w:rPr>
        <w:t xml:space="preserve"> </w:t>
      </w:r>
      <w:r w:rsidRPr="009C7D53">
        <w:rPr>
          <w:szCs w:val="26"/>
        </w:rPr>
        <w:t xml:space="preserve">which we have adopted as conditions in the appendix of this order. </w:t>
      </w:r>
    </w:p>
    <w:p w14:paraId="565490EE" w14:textId="05485F8D" w:rsidR="008D4FA9" w:rsidRPr="009C583E" w:rsidRDefault="006462B3" w:rsidP="009C583E">
      <w:pPr>
        <w:pStyle w:val="FERCparanumber"/>
        <w:rPr>
          <w:szCs w:val="26"/>
        </w:rPr>
      </w:pPr>
      <w:r w:rsidRPr="007F29C3">
        <w:t xml:space="preserve">The </w:t>
      </w:r>
      <w:r w:rsidRPr="007F29C3">
        <w:rPr>
          <w:szCs w:val="26"/>
        </w:rPr>
        <w:t xml:space="preserve">Commission received comments on the EA from </w:t>
      </w:r>
      <w:r w:rsidR="00DD503A">
        <w:rPr>
          <w:szCs w:val="26"/>
        </w:rPr>
        <w:t>Sierra Clu</w:t>
      </w:r>
      <w:r w:rsidR="001E4807">
        <w:rPr>
          <w:szCs w:val="26"/>
        </w:rPr>
        <w:t xml:space="preserve">b, </w:t>
      </w:r>
      <w:r w:rsidR="00C4504E">
        <w:rPr>
          <w:szCs w:val="26"/>
        </w:rPr>
        <w:t>Appalachian</w:t>
      </w:r>
      <w:r w:rsidR="001E4807">
        <w:rPr>
          <w:szCs w:val="26"/>
        </w:rPr>
        <w:t xml:space="preserve"> Voices, Carly Diaz, Richard Vultaggio, Katherine Williams, Nancy Trevina, Georgia Haverty, Sam Collins, </w:t>
      </w:r>
      <w:r w:rsidR="004F522C">
        <w:rPr>
          <w:szCs w:val="26"/>
        </w:rPr>
        <w:t xml:space="preserve">Jessica Simms, Claire Spear, Amminah Ghaffar-Fulp, Kate Ash-Vermillion, Our Children’s Trust, </w:t>
      </w:r>
      <w:r w:rsidR="00C4504E">
        <w:rPr>
          <w:szCs w:val="26"/>
        </w:rPr>
        <w:t>Protect Our Water Heritage Rights, Duke Energy, PSNC,</w:t>
      </w:r>
      <w:r w:rsidR="004B3AE9">
        <w:rPr>
          <w:szCs w:val="26"/>
        </w:rPr>
        <w:t xml:space="preserve"> Appalachian </w:t>
      </w:r>
      <w:r w:rsidR="007A1136">
        <w:rPr>
          <w:szCs w:val="26"/>
        </w:rPr>
        <w:t>Mountain</w:t>
      </w:r>
      <w:r w:rsidR="004B3AE9">
        <w:rPr>
          <w:szCs w:val="26"/>
        </w:rPr>
        <w:t xml:space="preserve"> Advocates, 7 Direction of </w:t>
      </w:r>
      <w:r w:rsidR="007A1136">
        <w:rPr>
          <w:szCs w:val="26"/>
        </w:rPr>
        <w:t>Service</w:t>
      </w:r>
      <w:r w:rsidR="004B3AE9">
        <w:rPr>
          <w:szCs w:val="26"/>
        </w:rPr>
        <w:t>, Joshua Vana,</w:t>
      </w:r>
      <w:r w:rsidR="0058237D">
        <w:rPr>
          <w:szCs w:val="26"/>
        </w:rPr>
        <w:t xml:space="preserve"> Carolinas Natural Gas</w:t>
      </w:r>
      <w:r w:rsidR="00566F88">
        <w:rPr>
          <w:szCs w:val="26"/>
        </w:rPr>
        <w:t xml:space="preserve"> Coalition, Rula, </w:t>
      </w:r>
      <w:r w:rsidR="00BE414B">
        <w:rPr>
          <w:szCs w:val="26"/>
        </w:rPr>
        <w:t xml:space="preserve">and </w:t>
      </w:r>
      <w:r w:rsidR="00031DF5">
        <w:rPr>
          <w:szCs w:val="26"/>
        </w:rPr>
        <w:t>Members of the Virgi</w:t>
      </w:r>
      <w:r w:rsidR="00BE414B">
        <w:rPr>
          <w:szCs w:val="26"/>
        </w:rPr>
        <w:t>nia General Assembly, and Mountain Valley</w:t>
      </w:r>
      <w:r w:rsidRPr="007F29C3">
        <w:rPr>
          <w:szCs w:val="26"/>
        </w:rPr>
        <w:t xml:space="preserve">.  We respond to comments on the EA below.  </w:t>
      </w:r>
    </w:p>
    <w:p w14:paraId="0548D354" w14:textId="63737A72" w:rsidR="008D4FA9" w:rsidRPr="00D3523F" w:rsidRDefault="00F003C0" w:rsidP="008D4FA9">
      <w:pPr>
        <w:pStyle w:val="Heading3"/>
      </w:pPr>
      <w:r>
        <w:t>Procedural Concerns</w:t>
      </w:r>
    </w:p>
    <w:p w14:paraId="6720B933" w14:textId="09DDE795" w:rsidR="002E24B0" w:rsidRPr="002E24B0" w:rsidRDefault="00723F00" w:rsidP="008838CE">
      <w:pPr>
        <w:pStyle w:val="Heading4"/>
      </w:pPr>
      <w:r>
        <w:t>Preparation of</w:t>
      </w:r>
      <w:r w:rsidR="002E24B0" w:rsidRPr="002E24B0">
        <w:t xml:space="preserve"> an EIS </w:t>
      </w:r>
      <w:r w:rsidR="00120D8E">
        <w:t>and Reliance on the 2020 EIS</w:t>
      </w:r>
    </w:p>
    <w:p w14:paraId="6D269AC7" w14:textId="4E7EE414" w:rsidR="00C96884" w:rsidRDefault="002E24B0" w:rsidP="00B40122">
      <w:pPr>
        <w:pStyle w:val="FERCparanumber"/>
      </w:pPr>
      <w:r w:rsidRPr="002E24B0">
        <w:t>Several commenters state that an Environmental Impact Statement (EIS)</w:t>
      </w:r>
      <w:r w:rsidR="00E86D75">
        <w:t>, instead of an EA,</w:t>
      </w:r>
      <w:r w:rsidRPr="002E24B0">
        <w:t xml:space="preserve"> should </w:t>
      </w:r>
      <w:r w:rsidR="0086786B">
        <w:t xml:space="preserve">have </w:t>
      </w:r>
      <w:r w:rsidRPr="002E24B0">
        <w:t>be</w:t>
      </w:r>
      <w:r w:rsidR="0086786B">
        <w:t>en</w:t>
      </w:r>
      <w:r w:rsidRPr="002E24B0">
        <w:t xml:space="preserve"> prepared for the project</w:t>
      </w:r>
      <w:r w:rsidR="0086786B">
        <w:t>,</w:t>
      </w:r>
      <w:r w:rsidRPr="002E24B0">
        <w:t xml:space="preserve"> </w:t>
      </w:r>
      <w:r w:rsidR="000D3924">
        <w:t xml:space="preserve">in order to </w:t>
      </w:r>
      <w:r w:rsidR="003A3535">
        <w:t>assess</w:t>
      </w:r>
      <w:r w:rsidR="00B6510A">
        <w:t xml:space="preserve"> allegedly significant</w:t>
      </w:r>
      <w:r w:rsidR="003A3535">
        <w:t xml:space="preserve"> adverse effects</w:t>
      </w:r>
      <w:r w:rsidR="00B6510A">
        <w:t>, including those on</w:t>
      </w:r>
      <w:r w:rsidRPr="002E24B0">
        <w:t xml:space="preserve"> local communi</w:t>
      </w:r>
      <w:r w:rsidR="00B6510A">
        <w:t>ti</w:t>
      </w:r>
      <w:r w:rsidR="00EA17EF">
        <w:t>es</w:t>
      </w:r>
      <w:r w:rsidRPr="002E24B0">
        <w:t>.</w:t>
      </w:r>
      <w:r w:rsidRPr="002E24B0">
        <w:rPr>
          <w:b/>
          <w:vertAlign w:val="superscript"/>
        </w:rPr>
        <w:footnoteReference w:id="110"/>
      </w:r>
      <w:r w:rsidRPr="002E24B0">
        <w:t xml:space="preserve">  NEPA</w:t>
      </w:r>
      <w:r w:rsidRPr="002E24B0" w:rsidDel="004C7C02">
        <w:t xml:space="preserve"> </w:t>
      </w:r>
      <w:r w:rsidRPr="002E24B0">
        <w:t xml:space="preserve">requires </w:t>
      </w:r>
      <w:r w:rsidR="0054273B">
        <w:t xml:space="preserve">       </w:t>
      </w:r>
      <w:r w:rsidRPr="002E24B0">
        <w:t xml:space="preserve">a federal agency prepare an EIS if </w:t>
      </w:r>
      <w:r w:rsidR="00CA663B">
        <w:t>the</w:t>
      </w:r>
      <w:r w:rsidRPr="002E24B0">
        <w:t xml:space="preserve"> proposed action has a reasonably foreseeable significant impact on the quality of the human environment.</w:t>
      </w:r>
      <w:r w:rsidR="00CA663B">
        <w:rPr>
          <w:rStyle w:val="FootnoteReference"/>
        </w:rPr>
        <w:footnoteReference w:id="111"/>
      </w:r>
      <w:r w:rsidRPr="002E24B0">
        <w:t xml:space="preserve">  </w:t>
      </w:r>
      <w:r w:rsidR="00C96884">
        <w:t xml:space="preserve">However, an agency </w:t>
      </w:r>
      <w:r w:rsidR="0054273B">
        <w:t xml:space="preserve">  </w:t>
      </w:r>
      <w:r w:rsidR="00C96884">
        <w:t>may</w:t>
      </w:r>
      <w:r w:rsidRPr="002E24B0">
        <w:t xml:space="preserve"> prepare an EA if </w:t>
      </w:r>
      <w:r w:rsidR="00C96884">
        <w:t>the</w:t>
      </w:r>
      <w:r w:rsidRPr="002E24B0">
        <w:t xml:space="preserve"> proposed action does not have a reasonably foreseeable significant effect on the quality of the human environment or if the significance of such effect is unknown</w:t>
      </w:r>
      <w:r w:rsidR="00C96884">
        <w:t>.</w:t>
      </w:r>
      <w:r w:rsidR="00C96884">
        <w:rPr>
          <w:rStyle w:val="FootnoteReference"/>
        </w:rPr>
        <w:footnoteReference w:id="112"/>
      </w:r>
      <w:r w:rsidR="00674272">
        <w:t xml:space="preserve">  </w:t>
      </w:r>
      <w:r w:rsidR="00674272" w:rsidRPr="00674272">
        <w:t>An agency’s decision whether to prepare an EIS is left to agency discretion.</w:t>
      </w:r>
      <w:r w:rsidR="00674272" w:rsidRPr="00674272">
        <w:rPr>
          <w:b/>
          <w:vertAlign w:val="superscript"/>
        </w:rPr>
        <w:footnoteReference w:id="113"/>
      </w:r>
    </w:p>
    <w:p w14:paraId="572C6930" w14:textId="2DF4BC45" w:rsidR="00D92A09" w:rsidRPr="00C8509B" w:rsidRDefault="004B744F" w:rsidP="00172A2A">
      <w:pPr>
        <w:pStyle w:val="FERCparanumber"/>
      </w:pPr>
      <w:r>
        <w:lastRenderedPageBreak/>
        <w:t>H</w:t>
      </w:r>
      <w:r w:rsidR="002E24B0" w:rsidRPr="002E24B0">
        <w:t>ere</w:t>
      </w:r>
      <w:r>
        <w:t>,</w:t>
      </w:r>
      <w:r w:rsidR="002E24B0" w:rsidRPr="002E24B0">
        <w:t xml:space="preserve"> </w:t>
      </w:r>
      <w:r w:rsidR="00D92A09" w:rsidRPr="00700462">
        <w:t xml:space="preserve">Commission staff prepared an EA to determine whether the </w:t>
      </w:r>
      <w:r w:rsidR="00D92A09">
        <w:t>p</w:t>
      </w:r>
      <w:r w:rsidR="00D92A09" w:rsidRPr="00700462">
        <w:t>roject</w:t>
      </w:r>
      <w:r w:rsidR="00D92A09" w:rsidRPr="00700462" w:rsidDel="00845D62">
        <w:t xml:space="preserve"> </w:t>
      </w:r>
      <w:r w:rsidR="00D92A09" w:rsidRPr="00700462">
        <w:t>would have a significant impact on the human environment and thus require the preparation of an EIS.  The EA assesse</w:t>
      </w:r>
      <w:r w:rsidR="00EA36DE">
        <w:t>d</w:t>
      </w:r>
      <w:r w:rsidR="00D92A09" w:rsidRPr="00700462">
        <w:t xml:space="preserve"> the potential impacts of the project on a variety of resources, including impacts on land use, air quality</w:t>
      </w:r>
      <w:r w:rsidR="00F43D13">
        <w:t>,</w:t>
      </w:r>
      <w:r w:rsidR="00D92A09" w:rsidRPr="00700462">
        <w:t xml:space="preserve"> and noise, and </w:t>
      </w:r>
      <w:r w:rsidR="00D92A09" w:rsidRPr="00700462" w:rsidDel="00766473">
        <w:t>determine</w:t>
      </w:r>
      <w:r w:rsidR="00F43D13">
        <w:t>d</w:t>
      </w:r>
      <w:r w:rsidR="00D92A09" w:rsidRPr="00700462">
        <w:t xml:space="preserve"> that the construction and operation </w:t>
      </w:r>
      <w:r w:rsidR="00F43D13">
        <w:t xml:space="preserve">of the project </w:t>
      </w:r>
      <w:r w:rsidR="00D92A09" w:rsidRPr="00700462">
        <w:t>would not constitute a major federal action significantly affecting the quality of the human environment.</w:t>
      </w:r>
      <w:r w:rsidR="00D92A09" w:rsidRPr="00DE244E">
        <w:rPr>
          <w:rStyle w:val="FootnoteReference"/>
        </w:rPr>
        <w:t xml:space="preserve"> </w:t>
      </w:r>
      <w:r w:rsidR="00D92A09" w:rsidRPr="006F1BCA">
        <w:rPr>
          <w:rStyle w:val="FootnoteReference"/>
        </w:rPr>
        <w:footnoteReference w:id="114"/>
      </w:r>
      <w:r w:rsidR="00D92A09">
        <w:t xml:space="preserve">  </w:t>
      </w:r>
      <w:r w:rsidR="00F43D13">
        <w:t xml:space="preserve">Accordingly, an EIS </w:t>
      </w:r>
      <w:r w:rsidR="00776731">
        <w:t xml:space="preserve">is not required. </w:t>
      </w:r>
    </w:p>
    <w:p w14:paraId="4391D73C" w14:textId="2C18223D" w:rsidR="002A58F9" w:rsidRDefault="000D7F5F">
      <w:pPr>
        <w:pStyle w:val="FERCparanumber"/>
        <w:tabs>
          <w:tab w:val="clear" w:pos="720"/>
        </w:tabs>
      </w:pPr>
      <w:r w:rsidRPr="000D7F5F">
        <w:t xml:space="preserve">Several commenters state </w:t>
      </w:r>
      <w:r w:rsidR="004B4D72">
        <w:t xml:space="preserve">that </w:t>
      </w:r>
      <w:r w:rsidRPr="000D7F5F">
        <w:t xml:space="preserve">the </w:t>
      </w:r>
      <w:r w:rsidR="00E51FA4">
        <w:t xml:space="preserve">EA </w:t>
      </w:r>
      <w:r w:rsidR="002A54EE">
        <w:t xml:space="preserve">inappropriately </w:t>
      </w:r>
      <w:r w:rsidR="00E51FA4">
        <w:t xml:space="preserve">relies </w:t>
      </w:r>
      <w:r w:rsidR="00AA6DF8">
        <w:t xml:space="preserve">on </w:t>
      </w:r>
      <w:r w:rsidRPr="000D7F5F">
        <w:t>an out-of-date</w:t>
      </w:r>
      <w:r w:rsidR="00B00C5C">
        <w:t xml:space="preserve"> environmental analysis</w:t>
      </w:r>
      <w:r w:rsidR="00AA6DF8">
        <w:t xml:space="preserve"> </w:t>
      </w:r>
      <w:r w:rsidR="002A54EE">
        <w:t xml:space="preserve">by </w:t>
      </w:r>
      <w:r w:rsidR="00AA6DF8">
        <w:t>rel</w:t>
      </w:r>
      <w:r w:rsidR="005C7219">
        <w:t>y</w:t>
      </w:r>
      <w:r w:rsidR="00AA6DF8">
        <w:t>i</w:t>
      </w:r>
      <w:r w:rsidR="002A54EE">
        <w:t>ng</w:t>
      </w:r>
      <w:r w:rsidR="00AA6DF8">
        <w:t xml:space="preserve"> on the 2020 final EIS prepared for the Southgate Project</w:t>
      </w:r>
      <w:r w:rsidRPr="000D7F5F">
        <w:t>.</w:t>
      </w:r>
      <w:r w:rsidRPr="000D7F5F">
        <w:rPr>
          <w:b/>
          <w:vertAlign w:val="superscript"/>
        </w:rPr>
        <w:footnoteReference w:id="115"/>
      </w:r>
      <w:r w:rsidRPr="007A1136">
        <w:rPr>
          <w:b/>
          <w:vertAlign w:val="superscript"/>
        </w:rPr>
        <w:t xml:space="preserve"> </w:t>
      </w:r>
      <w:r w:rsidRPr="000D7F5F">
        <w:t xml:space="preserve"> </w:t>
      </w:r>
      <w:r w:rsidR="00BE7052" w:rsidRPr="000D7F5F">
        <w:t xml:space="preserve">Appalachian </w:t>
      </w:r>
      <w:r w:rsidR="00F5770E">
        <w:t>Mountain Advocates</w:t>
      </w:r>
      <w:r w:rsidR="00BE7052" w:rsidRPr="000D7F5F">
        <w:t xml:space="preserve"> state</w:t>
      </w:r>
      <w:r w:rsidR="002A58F9">
        <w:t>s</w:t>
      </w:r>
      <w:r w:rsidR="00BE7052" w:rsidRPr="000D7F5F">
        <w:t xml:space="preserve"> that staff should have reassessed all of the impacts of the </w:t>
      </w:r>
      <w:r w:rsidR="00777CB0">
        <w:t>Amendment</w:t>
      </w:r>
      <w:r w:rsidR="00BE7052" w:rsidRPr="000D7F5F">
        <w:t xml:space="preserve"> Project due to the climate crisis and should </w:t>
      </w:r>
      <w:r w:rsidR="006259E0">
        <w:t xml:space="preserve">have </w:t>
      </w:r>
      <w:r w:rsidR="00BE7052" w:rsidRPr="000D7F5F">
        <w:t>revisit</w:t>
      </w:r>
      <w:r w:rsidR="006259E0">
        <w:t>ed</w:t>
      </w:r>
      <w:r w:rsidR="00BE7052" w:rsidRPr="000D7F5F">
        <w:t xml:space="preserve"> the conclusions of the </w:t>
      </w:r>
      <w:r w:rsidR="006259E0">
        <w:t>2020 final EIS</w:t>
      </w:r>
      <w:r w:rsidR="00BE7052" w:rsidRPr="000D7F5F">
        <w:t>.</w:t>
      </w:r>
      <w:r w:rsidR="00BE7052" w:rsidRPr="000D7F5F">
        <w:rPr>
          <w:b/>
          <w:vertAlign w:val="superscript"/>
        </w:rPr>
        <w:footnoteReference w:id="116"/>
      </w:r>
    </w:p>
    <w:p w14:paraId="727DC4C9" w14:textId="6C6DAB65" w:rsidR="00806003" w:rsidRDefault="00BE7052">
      <w:pPr>
        <w:pStyle w:val="FERCparanumber"/>
        <w:tabs>
          <w:tab w:val="clear" w:pos="720"/>
        </w:tabs>
      </w:pPr>
      <w:r w:rsidRPr="000D7F5F">
        <w:t xml:space="preserve"> </w:t>
      </w:r>
      <w:r w:rsidR="003F0E1B">
        <w:t xml:space="preserve"> </w:t>
      </w:r>
      <w:r w:rsidR="00DB7B2F" w:rsidRPr="00DB7B2F">
        <w:t>The decision whether to complete a supplemental EIS is left to agency discretion under a “rule of reason” standard.</w:t>
      </w:r>
      <w:r w:rsidR="00DB7B2F">
        <w:rPr>
          <w:rStyle w:val="FootnoteReference"/>
        </w:rPr>
        <w:footnoteReference w:id="117"/>
      </w:r>
      <w:r w:rsidR="00DB7B2F">
        <w:t xml:space="preserve">  </w:t>
      </w:r>
      <w:r w:rsidR="00DB7B2F" w:rsidRPr="00DB7B2F">
        <w:t xml:space="preserve">Any new information brought to the attention of the Commission must be sufficient to show that the remaining federal action will affect </w:t>
      </w:r>
      <w:r w:rsidR="0054273B">
        <w:t xml:space="preserve">     </w:t>
      </w:r>
      <w:r w:rsidR="00DB7B2F" w:rsidRPr="00DB7B2F">
        <w:t>the environment in a significant manner or to a significant extent </w:t>
      </w:r>
      <w:r w:rsidR="00DB7B2F" w:rsidRPr="00AC3F7B">
        <w:t xml:space="preserve">not already </w:t>
      </w:r>
      <w:r w:rsidR="00DB7B2F" w:rsidRPr="00AC3F7B">
        <w:lastRenderedPageBreak/>
        <w:t>considered</w:t>
      </w:r>
      <w:r w:rsidR="00DB7B2F" w:rsidRPr="00DB7B2F">
        <w:t>.</w:t>
      </w:r>
      <w:r w:rsidR="00DB7B2F">
        <w:rPr>
          <w:rStyle w:val="FootnoteReference"/>
        </w:rPr>
        <w:footnoteReference w:id="118"/>
      </w:r>
      <w:r w:rsidR="00DB7B2F" w:rsidRPr="00CF1B1B">
        <w:t xml:space="preserve"> </w:t>
      </w:r>
      <w:r w:rsidR="00DB7B2F" w:rsidRPr="00DB7B2F">
        <w:t> In other words, a </w:t>
      </w:r>
      <w:r w:rsidR="00DB7B2F" w:rsidRPr="00CF1B1B">
        <w:t>supplemental</w:t>
      </w:r>
      <w:r w:rsidR="00DB7B2F" w:rsidRPr="00DB7B2F">
        <w:t> </w:t>
      </w:r>
      <w:r w:rsidR="00DB7B2F" w:rsidRPr="00CF1B1B">
        <w:t>EIS</w:t>
      </w:r>
      <w:r w:rsidR="00DB7B2F" w:rsidRPr="00DB7B2F">
        <w:t> “must only be prepared where new information provides a </w:t>
      </w:r>
      <w:r w:rsidR="00DB7B2F" w:rsidRPr="00AC3F7B">
        <w:t>seriously</w:t>
      </w:r>
      <w:r w:rsidR="00DB7B2F" w:rsidRPr="00DB7B2F">
        <w:t> different picture of the environmental landscape.”</w:t>
      </w:r>
      <w:r w:rsidR="00DB7B2F">
        <w:rPr>
          <w:rStyle w:val="FootnoteReference"/>
        </w:rPr>
        <w:footnoteReference w:id="119"/>
      </w:r>
      <w:r w:rsidR="009039E4">
        <w:t xml:space="preserve"> </w:t>
      </w:r>
      <w:r w:rsidR="00360904">
        <w:t xml:space="preserve"> </w:t>
      </w:r>
      <w:r w:rsidR="00235080" w:rsidRPr="00235080">
        <w:t>The Commission is afforded “substantial deference” regarding “the usefulness of any new potential information to the decisionmaking process</w:t>
      </w:r>
      <w:r w:rsidR="00AE44F9">
        <w:t>.</w:t>
      </w:r>
      <w:r w:rsidR="00235080" w:rsidRPr="00235080">
        <w:t>”</w:t>
      </w:r>
      <w:r w:rsidR="00235080" w:rsidRPr="00235080">
        <w:rPr>
          <w:b/>
          <w:vertAlign w:val="superscript"/>
        </w:rPr>
        <w:footnoteReference w:id="120"/>
      </w:r>
    </w:p>
    <w:p w14:paraId="40E1ABD6" w14:textId="5BECF345" w:rsidR="000D7F5F" w:rsidRPr="000D7F5F" w:rsidRDefault="00C06DE5">
      <w:pPr>
        <w:pStyle w:val="FERCparanumber"/>
        <w:tabs>
          <w:tab w:val="clear" w:pos="720"/>
        </w:tabs>
      </w:pPr>
      <w:r>
        <w:t xml:space="preserve">The changes proposed by Mountain </w:t>
      </w:r>
      <w:r w:rsidR="00F84A25">
        <w:t xml:space="preserve">Valley will not cause </w:t>
      </w:r>
      <w:r w:rsidR="007B1344">
        <w:t xml:space="preserve">significant increased impacts and, overall, the </w:t>
      </w:r>
      <w:r w:rsidR="00777CB0">
        <w:t>Amendment</w:t>
      </w:r>
      <w:r w:rsidR="007B1344">
        <w:t xml:space="preserve"> Project will result in fewer environmental impacts than the originally certificated project.</w:t>
      </w:r>
      <w:r w:rsidR="004C50F2">
        <w:rPr>
          <w:rStyle w:val="FootnoteReference"/>
        </w:rPr>
        <w:footnoteReference w:id="121"/>
      </w:r>
      <w:r w:rsidR="007B1344">
        <w:t xml:space="preserve">  </w:t>
      </w:r>
      <w:r w:rsidR="00360904">
        <w:t>T</w:t>
      </w:r>
      <w:r w:rsidR="000D7F5F" w:rsidRPr="000D7F5F">
        <w:t>he EA</w:t>
      </w:r>
      <w:r w:rsidR="00CD177E">
        <w:t xml:space="preserve"> </w:t>
      </w:r>
      <w:r w:rsidR="001E29FB">
        <w:t xml:space="preserve">incorporates the </w:t>
      </w:r>
      <w:r w:rsidR="007B1344">
        <w:t xml:space="preserve">2020 </w:t>
      </w:r>
      <w:r w:rsidR="001E29FB">
        <w:t>final EIS and</w:t>
      </w:r>
      <w:r w:rsidR="000D7F5F" w:rsidRPr="000D7F5F">
        <w:t xml:space="preserve"> analyze</w:t>
      </w:r>
      <w:r w:rsidR="00360904">
        <w:t>s</w:t>
      </w:r>
      <w:r w:rsidR="000D7F5F" w:rsidRPr="000D7F5F">
        <w:t xml:space="preserve"> </w:t>
      </w:r>
      <w:r w:rsidR="001E29FB">
        <w:t xml:space="preserve">all </w:t>
      </w:r>
      <w:r w:rsidR="000D7F5F" w:rsidRPr="000D7F5F">
        <w:t xml:space="preserve">changes and modifications to the </w:t>
      </w:r>
      <w:r w:rsidR="007B1344">
        <w:t xml:space="preserve">original project, including </w:t>
      </w:r>
      <w:r w:rsidR="000D7F5F" w:rsidRPr="000D7F5F">
        <w:t>components that would no longer be constructed, additional or new footprint, changes in construction methods or procedures, and additional effects identified through new resource surveys or new information.</w:t>
      </w:r>
      <w:r w:rsidR="000D7F5F" w:rsidRPr="000D7F5F">
        <w:rPr>
          <w:b/>
          <w:vertAlign w:val="superscript"/>
        </w:rPr>
        <w:footnoteReference w:id="122"/>
      </w:r>
      <w:r w:rsidR="000D7F5F" w:rsidRPr="000D7F5F">
        <w:t xml:space="preserve">  </w:t>
      </w:r>
      <w:r w:rsidR="00DB3167">
        <w:t xml:space="preserve">Thus, preparation of an EA was appropriate. </w:t>
      </w:r>
      <w:r w:rsidR="00F251F5">
        <w:t xml:space="preserve"> </w:t>
      </w:r>
      <w:r w:rsidR="00F251F5" w:rsidRPr="00F251F5">
        <w:t>We also note that the limited scope of this proceeding is not an opportunity for parties to relitigate the original project or its environmental analysis.  NEPA is “not an authorization to undo what has already been done,” nor does it “create a remedial scheme for past federal actions.”</w:t>
      </w:r>
      <w:r w:rsidR="00F251F5" w:rsidRPr="00F251F5">
        <w:rPr>
          <w:b/>
          <w:vertAlign w:val="superscript"/>
        </w:rPr>
        <w:footnoteReference w:id="123"/>
      </w:r>
    </w:p>
    <w:p w14:paraId="585D19D0" w14:textId="4E2883EE" w:rsidR="00F56F87" w:rsidRPr="00F56F87" w:rsidRDefault="00F56F87" w:rsidP="008838CE">
      <w:pPr>
        <w:pStyle w:val="Heading4"/>
      </w:pPr>
      <w:r w:rsidRPr="00F56F87">
        <w:t xml:space="preserve">Requests to Extend EA Comment Period </w:t>
      </w:r>
    </w:p>
    <w:p w14:paraId="06B43169" w14:textId="2B16173A" w:rsidR="00F56F87" w:rsidRPr="00F56F87" w:rsidRDefault="00F56F87" w:rsidP="00F56F87">
      <w:pPr>
        <w:pStyle w:val="FERCparanumber"/>
        <w:tabs>
          <w:tab w:val="clear" w:pos="720"/>
        </w:tabs>
      </w:pPr>
      <w:r w:rsidRPr="00F56F87">
        <w:t xml:space="preserve">Several commenters argue that the EA comment period should </w:t>
      </w:r>
      <w:r w:rsidR="006816AE">
        <w:t xml:space="preserve">have </w:t>
      </w:r>
      <w:r w:rsidRPr="00F56F87">
        <w:t>be</w:t>
      </w:r>
      <w:r w:rsidR="006816AE">
        <w:t xml:space="preserve">en </w:t>
      </w:r>
      <w:r w:rsidRPr="00F56F87">
        <w:t xml:space="preserve"> extended to coincide with the comment periods </w:t>
      </w:r>
      <w:r w:rsidR="001A3869">
        <w:t>for</w:t>
      </w:r>
      <w:r w:rsidRPr="00F56F87">
        <w:t xml:space="preserve"> </w:t>
      </w:r>
      <w:r w:rsidR="00CC2FA3">
        <w:t xml:space="preserve">Transco’s </w:t>
      </w:r>
      <w:r w:rsidR="00377A6B">
        <w:t xml:space="preserve">proposed </w:t>
      </w:r>
      <w:r w:rsidR="00CC2FA3">
        <w:t>Southeast Supply Enhancement</w:t>
      </w:r>
      <w:r w:rsidRPr="00F56F87">
        <w:t xml:space="preserve"> Project and the </w:t>
      </w:r>
      <w:r w:rsidR="00777CB0">
        <w:t>Amendment</w:t>
      </w:r>
      <w:r w:rsidRPr="00F56F87">
        <w:t xml:space="preserve"> Project’s Clean Water Act Section 401 </w:t>
      </w:r>
      <w:r w:rsidRPr="00F56F87">
        <w:lastRenderedPageBreak/>
        <w:t>certification.</w:t>
      </w:r>
      <w:r w:rsidRPr="00F56F87">
        <w:rPr>
          <w:b/>
          <w:vertAlign w:val="superscript"/>
        </w:rPr>
        <w:footnoteReference w:id="124"/>
      </w:r>
      <w:r w:rsidRPr="00F56F87">
        <w:t xml:space="preserve">  Protect Our Water, Heritage, Rights contend</w:t>
      </w:r>
      <w:r w:rsidR="00D03A85">
        <w:t>s</w:t>
      </w:r>
      <w:r w:rsidRPr="00F56F87">
        <w:t xml:space="preserve"> </w:t>
      </w:r>
      <w:r w:rsidR="00E733F9">
        <w:t>that</w:t>
      </w:r>
      <w:r w:rsidRPr="00F56F87">
        <w:t xml:space="preserve"> the public encountered difficulty </w:t>
      </w:r>
      <w:r w:rsidR="000C3269">
        <w:t>understanding</w:t>
      </w:r>
      <w:r w:rsidR="000C3269" w:rsidRPr="00F56F87">
        <w:t xml:space="preserve"> </w:t>
      </w:r>
      <w:r w:rsidRPr="00F56F87">
        <w:t xml:space="preserve">the </w:t>
      </w:r>
      <w:r w:rsidR="00881788">
        <w:t>overlapping</w:t>
      </w:r>
      <w:r w:rsidR="001571FC">
        <w:t xml:space="preserve"> proposals and timelines </w:t>
      </w:r>
      <w:r w:rsidRPr="00F56F87">
        <w:t xml:space="preserve">for the </w:t>
      </w:r>
      <w:r w:rsidR="00777CB0">
        <w:t>Amendment</w:t>
      </w:r>
      <w:r w:rsidRPr="00F56F87">
        <w:t xml:space="preserve"> Project and the </w:t>
      </w:r>
      <w:r w:rsidR="00FC34E2">
        <w:t>Southeast Supply Enhancement</w:t>
      </w:r>
      <w:r w:rsidRPr="00F56F87">
        <w:t xml:space="preserve"> Project.</w:t>
      </w:r>
      <w:r w:rsidRPr="00F56F87">
        <w:rPr>
          <w:b/>
          <w:vertAlign w:val="superscript"/>
        </w:rPr>
        <w:footnoteReference w:id="125"/>
      </w:r>
      <w:r w:rsidRPr="00F56F87">
        <w:rPr>
          <w:vertAlign w:val="superscript"/>
        </w:rPr>
        <w:t xml:space="preserve"> </w:t>
      </w:r>
      <w:r w:rsidRPr="00F56F87">
        <w:t xml:space="preserve"> The 30-day comment period is adequate and consistent with the Commission’s standard practice for an EA, and we therefore find no reason to extend it.</w:t>
      </w:r>
      <w:r w:rsidR="00B46F4F">
        <w:rPr>
          <w:rStyle w:val="FootnoteReference"/>
        </w:rPr>
        <w:footnoteReference w:id="126"/>
      </w:r>
      <w:r w:rsidR="0008660E">
        <w:t xml:space="preserve">  The Commission issued notices for the projects, in their respective dockets, as they were ready, and each notice</w:t>
      </w:r>
      <w:r w:rsidR="00695617">
        <w:t xml:space="preserve"> clearly specified the </w:t>
      </w:r>
      <w:r w:rsidR="00176368">
        <w:t>relevant project and comment period.</w:t>
      </w:r>
      <w:r w:rsidR="00FA2FBB">
        <w:rPr>
          <w:rStyle w:val="FootnoteReference"/>
        </w:rPr>
        <w:footnoteReference w:id="127"/>
      </w:r>
      <w:r w:rsidR="00FD03A8">
        <w:t xml:space="preserve">  </w:t>
      </w:r>
      <w:r w:rsidR="00FD03A8" w:rsidRPr="00FD03A8">
        <w:t>Accordingly, we do not find commenters have provided sufficient basis to extend the comment period on the EA.</w:t>
      </w:r>
    </w:p>
    <w:p w14:paraId="514FE1C2" w14:textId="7A456FEA" w:rsidR="00003A7E" w:rsidRPr="00137C09" w:rsidRDefault="00581906" w:rsidP="00003A7E">
      <w:pPr>
        <w:pStyle w:val="Heading3"/>
      </w:pPr>
      <w:r>
        <w:t>Comments on the EA</w:t>
      </w:r>
    </w:p>
    <w:p w14:paraId="1FDCDC38" w14:textId="79DB6436" w:rsidR="000F6D82" w:rsidRPr="000F6D82" w:rsidRDefault="00362D74" w:rsidP="008838CE">
      <w:pPr>
        <w:pStyle w:val="Heading4"/>
      </w:pPr>
      <w:r>
        <w:t>Soils and Prime Farmland</w:t>
      </w:r>
    </w:p>
    <w:p w14:paraId="341DDB2C" w14:textId="4C672FC8" w:rsidR="000F6D82" w:rsidRPr="00E84685" w:rsidRDefault="00626C57" w:rsidP="00626C57">
      <w:pPr>
        <w:pStyle w:val="FERCparanumber"/>
      </w:pPr>
      <w:r w:rsidRPr="00344DF6">
        <w:t>S</w:t>
      </w:r>
      <w:r w:rsidRPr="00405F86">
        <w:t>everal commenters</w:t>
      </w:r>
      <w:r>
        <w:t xml:space="preserve"> express concern that construction of the </w:t>
      </w:r>
      <w:r w:rsidR="00777CB0">
        <w:t>Amendment</w:t>
      </w:r>
      <w:r>
        <w:t xml:space="preserve"> Project would negatively impact soils by causing upland erosion and compaction of soils, and</w:t>
      </w:r>
      <w:r w:rsidR="0054273B">
        <w:t xml:space="preserve"> </w:t>
      </w:r>
      <w:r>
        <w:t>thereby negatively affect vegetation, wildlife habitat</w:t>
      </w:r>
      <w:r w:rsidR="00E66E39">
        <w:t>,</w:t>
      </w:r>
      <w:r>
        <w:t xml:space="preserve"> and farmland.</w:t>
      </w:r>
      <w:r>
        <w:rPr>
          <w:rStyle w:val="FootnoteReference"/>
        </w:rPr>
        <w:footnoteReference w:id="128"/>
      </w:r>
      <w:r>
        <w:t xml:space="preserve">  </w:t>
      </w:r>
      <w:r>
        <w:rPr>
          <w:szCs w:val="26"/>
        </w:rPr>
        <w:t xml:space="preserve">As discussed in the EA, </w:t>
      </w:r>
      <w:r w:rsidRPr="00E00F06">
        <w:rPr>
          <w:szCs w:val="26"/>
        </w:rPr>
        <w:t xml:space="preserve">Mountain Valley would design and install best management practices (BMPs) in compliance with </w:t>
      </w:r>
      <w:r>
        <w:rPr>
          <w:szCs w:val="26"/>
        </w:rPr>
        <w:t>National Pollutant Discharge Elimination System (</w:t>
      </w:r>
      <w:r w:rsidRPr="00E00F06">
        <w:rPr>
          <w:szCs w:val="26"/>
        </w:rPr>
        <w:t>NPDES</w:t>
      </w:r>
      <w:r>
        <w:rPr>
          <w:szCs w:val="26"/>
        </w:rPr>
        <w:t>)</w:t>
      </w:r>
      <w:r w:rsidRPr="00E00F06">
        <w:rPr>
          <w:szCs w:val="26"/>
        </w:rPr>
        <w:t xml:space="preserve"> permit requirements that </w:t>
      </w:r>
      <w:r w:rsidR="00E66E39">
        <w:rPr>
          <w:szCs w:val="26"/>
        </w:rPr>
        <w:t xml:space="preserve">would </w:t>
      </w:r>
      <w:r w:rsidRPr="00E00F06">
        <w:rPr>
          <w:szCs w:val="26"/>
        </w:rPr>
        <w:t xml:space="preserve">control soil erosion and sedimentation down-gradient of </w:t>
      </w:r>
      <w:r w:rsidRPr="00E00F06">
        <w:rPr>
          <w:szCs w:val="26"/>
        </w:rPr>
        <w:lastRenderedPageBreak/>
        <w:t>construction areas.</w:t>
      </w:r>
      <w:r w:rsidR="000D6E79">
        <w:rPr>
          <w:rStyle w:val="FootnoteReference"/>
          <w:szCs w:val="26"/>
        </w:rPr>
        <w:footnoteReference w:id="129"/>
      </w:r>
      <w:r w:rsidRPr="00E00F06">
        <w:rPr>
          <w:szCs w:val="26"/>
        </w:rPr>
        <w:t xml:space="preserve"> </w:t>
      </w:r>
      <w:r>
        <w:rPr>
          <w:szCs w:val="26"/>
        </w:rPr>
        <w:t xml:space="preserve"> Additionally, </w:t>
      </w:r>
      <w:r w:rsidRPr="009F0913">
        <w:rPr>
          <w:szCs w:val="26"/>
        </w:rPr>
        <w:t xml:space="preserve">Mountain Valley’s </w:t>
      </w:r>
      <w:r>
        <w:rPr>
          <w:szCs w:val="26"/>
        </w:rPr>
        <w:t xml:space="preserve">construction mitigation </w:t>
      </w:r>
      <w:r w:rsidRPr="009F0913">
        <w:rPr>
          <w:szCs w:val="26"/>
        </w:rPr>
        <w:t xml:space="preserve">measures, are based in part on FERC’s own </w:t>
      </w:r>
      <w:r w:rsidRPr="00BC4857">
        <w:rPr>
          <w:i/>
          <w:iCs/>
          <w:szCs w:val="26"/>
        </w:rPr>
        <w:t xml:space="preserve">Upland Erosion Control, Revegetation and Maintenance Plan </w:t>
      </w:r>
      <w:r w:rsidRPr="009F0913">
        <w:rPr>
          <w:szCs w:val="26"/>
        </w:rPr>
        <w:t xml:space="preserve">(Plan) </w:t>
      </w:r>
      <w:r w:rsidRPr="00BC4857">
        <w:rPr>
          <w:i/>
          <w:iCs/>
          <w:szCs w:val="26"/>
        </w:rPr>
        <w:t>and Wetland and Waterbody Construction and Mitigation Procedures</w:t>
      </w:r>
      <w:r w:rsidRPr="009F0913">
        <w:rPr>
          <w:szCs w:val="26"/>
        </w:rPr>
        <w:t xml:space="preserve"> (Procedures)</w:t>
      </w:r>
      <w:r>
        <w:rPr>
          <w:szCs w:val="26"/>
        </w:rPr>
        <w:t>,</w:t>
      </w:r>
      <w:r w:rsidRPr="009F0913">
        <w:rPr>
          <w:szCs w:val="26"/>
        </w:rPr>
        <w:t xml:space="preserve"> which have proven to be environmentally protective over the course of many years, hundreds of projects, and at locations across the United States.</w:t>
      </w:r>
      <w:r w:rsidRPr="00480591">
        <w:rPr>
          <w:rStyle w:val="FootnoteReference"/>
        </w:rPr>
        <w:footnoteReference w:id="130"/>
      </w:r>
      <w:r w:rsidRPr="009F0913">
        <w:rPr>
          <w:szCs w:val="26"/>
        </w:rPr>
        <w:t xml:space="preserve">  </w:t>
      </w:r>
      <w:r>
        <w:rPr>
          <w:szCs w:val="26"/>
        </w:rPr>
        <w:t xml:space="preserve">Section 4.2.4 of the </w:t>
      </w:r>
      <w:r w:rsidR="00C75D4F">
        <w:rPr>
          <w:szCs w:val="26"/>
        </w:rPr>
        <w:t xml:space="preserve">final </w:t>
      </w:r>
      <w:r>
        <w:rPr>
          <w:szCs w:val="26"/>
        </w:rPr>
        <w:t>EIS addresses soil compaction and states that Mountain Valley would decompact soil, which would benefit revegetation and thereby soil stability.</w:t>
      </w:r>
      <w:r w:rsidRPr="00FF4B3C">
        <w:rPr>
          <w:b/>
          <w:szCs w:val="26"/>
          <w:vertAlign w:val="superscript"/>
        </w:rPr>
        <w:footnoteReference w:id="131"/>
      </w:r>
      <w:r>
        <w:rPr>
          <w:szCs w:val="26"/>
        </w:rPr>
        <w:t xml:space="preserve">  The EA state</w:t>
      </w:r>
      <w:r w:rsidR="001D2B2B">
        <w:rPr>
          <w:szCs w:val="26"/>
        </w:rPr>
        <w:t>s</w:t>
      </w:r>
      <w:r>
        <w:rPr>
          <w:szCs w:val="26"/>
        </w:rPr>
        <w:t xml:space="preserve"> that</w:t>
      </w:r>
      <w:r w:rsidR="001D2B2B">
        <w:rPr>
          <w:szCs w:val="26"/>
        </w:rPr>
        <w:t>,</w:t>
      </w:r>
      <w:r>
        <w:rPr>
          <w:szCs w:val="26"/>
        </w:rPr>
        <w:t xml:space="preserve"> except where land would be permanently converted to industrial use, effects on soils would be temporary to short-term, lasting until revegetation is successful.</w:t>
      </w:r>
      <w:r w:rsidR="00DD5CD2">
        <w:rPr>
          <w:rStyle w:val="FootnoteReference"/>
          <w:szCs w:val="26"/>
        </w:rPr>
        <w:footnoteReference w:id="132"/>
      </w:r>
      <w:r>
        <w:rPr>
          <w:szCs w:val="26"/>
        </w:rPr>
        <w:t xml:space="preserve">  We agree.  </w:t>
      </w:r>
    </w:p>
    <w:p w14:paraId="474E4C45" w14:textId="664C3290" w:rsidR="00E84685" w:rsidRPr="00626C57" w:rsidRDefault="00E84685" w:rsidP="00D8312C">
      <w:pPr>
        <w:pStyle w:val="FERCparanumber"/>
      </w:pPr>
      <w:r w:rsidRPr="003F4828">
        <w:t>Several commenters</w:t>
      </w:r>
      <w:r>
        <w:t>,</w:t>
      </w:r>
      <w:r w:rsidRPr="003F4828">
        <w:t xml:space="preserve"> including the </w:t>
      </w:r>
      <w:r w:rsidRPr="00936B0D">
        <w:rPr>
          <w:szCs w:val="26"/>
        </w:rPr>
        <w:t>Sierra Club</w:t>
      </w:r>
      <w:r>
        <w:rPr>
          <w:szCs w:val="26"/>
        </w:rPr>
        <w:t>,</w:t>
      </w:r>
      <w:r w:rsidRPr="00936B0D">
        <w:rPr>
          <w:szCs w:val="26"/>
        </w:rPr>
        <w:t xml:space="preserve"> </w:t>
      </w:r>
      <w:r>
        <w:t>express</w:t>
      </w:r>
      <w:r w:rsidRPr="003F4828">
        <w:t xml:space="preserve"> concerns about farms and farmland.</w:t>
      </w:r>
      <w:r>
        <w:rPr>
          <w:rStyle w:val="FootnoteReference"/>
        </w:rPr>
        <w:footnoteReference w:id="133"/>
      </w:r>
      <w:r w:rsidRPr="003F4828">
        <w:t xml:space="preserve">  </w:t>
      </w:r>
      <w:r>
        <w:t xml:space="preserve">The EA examines the effect of the project on farmland and </w:t>
      </w:r>
      <w:r w:rsidR="00B0093C">
        <w:t>finds</w:t>
      </w:r>
      <w:r>
        <w:t xml:space="preserve"> that only 1.2 acres of prime farmland would be converted to industrial use</w:t>
      </w:r>
      <w:r w:rsidR="00B0093C">
        <w:t xml:space="preserve"> as a result of the </w:t>
      </w:r>
      <w:r w:rsidR="000E014C">
        <w:t>A</w:t>
      </w:r>
      <w:r w:rsidR="00473BED">
        <w:t>mendment</w:t>
      </w:r>
      <w:r w:rsidR="00B0093C">
        <w:t xml:space="preserve"> </w:t>
      </w:r>
      <w:r w:rsidR="000E014C">
        <w:t>P</w:t>
      </w:r>
      <w:r w:rsidR="00B0093C">
        <w:t>roject</w:t>
      </w:r>
      <w:r w:rsidR="002605C6">
        <w:t>,</w:t>
      </w:r>
      <w:r>
        <w:rPr>
          <w:rStyle w:val="FootnoteReference"/>
        </w:rPr>
        <w:footnoteReference w:id="134"/>
      </w:r>
      <w:r>
        <w:t xml:space="preserve"> </w:t>
      </w:r>
      <w:r w:rsidR="002605C6">
        <w:t xml:space="preserve">which </w:t>
      </w:r>
      <w:r w:rsidR="005F3306">
        <w:t xml:space="preserve">is </w:t>
      </w:r>
      <w:r>
        <w:t xml:space="preserve">a </w:t>
      </w:r>
      <w:r w:rsidR="003D5B0A">
        <w:t xml:space="preserve">small fraction of </w:t>
      </w:r>
      <w:r>
        <w:t>the total acreage of prime farmland and farmland of statewide importance in the surrounding areas.</w:t>
      </w:r>
      <w:r w:rsidR="005F3306">
        <w:rPr>
          <w:rStyle w:val="FootnoteReference"/>
        </w:rPr>
        <w:footnoteReference w:id="135"/>
      </w:r>
      <w:r>
        <w:t xml:space="preserve">  </w:t>
      </w:r>
      <w:r w:rsidR="002605C6">
        <w:t>T</w:t>
      </w:r>
      <w:r>
        <w:t>he EA conclude</w:t>
      </w:r>
      <w:r w:rsidR="002605C6">
        <w:t>s</w:t>
      </w:r>
      <w:r>
        <w:t xml:space="preserve"> that the </w:t>
      </w:r>
      <w:r w:rsidR="00777CB0">
        <w:t>Amendment</w:t>
      </w:r>
      <w:r>
        <w:t xml:space="preserve"> Project’s effects on the availability of prime </w:t>
      </w:r>
      <w:r w:rsidR="002605C6">
        <w:t>f</w:t>
      </w:r>
      <w:r>
        <w:t>armland and farmland of statewide imp</w:t>
      </w:r>
      <w:r w:rsidR="002605C6">
        <w:t>o</w:t>
      </w:r>
      <w:r>
        <w:t xml:space="preserve">rtance would not be significant.  We agree.  </w:t>
      </w:r>
    </w:p>
    <w:p w14:paraId="3955F76A" w14:textId="40D5A64E" w:rsidR="000F6D82" w:rsidRPr="00362D74" w:rsidRDefault="00626C57" w:rsidP="008838CE">
      <w:pPr>
        <w:pStyle w:val="Heading4"/>
      </w:pPr>
      <w:r>
        <w:t>Water Resources</w:t>
      </w:r>
    </w:p>
    <w:p w14:paraId="3DE8504B" w14:textId="3B08060B" w:rsidR="002D7931" w:rsidRPr="004C21F3" w:rsidRDefault="0073094D" w:rsidP="002D7931">
      <w:pPr>
        <w:pStyle w:val="FERCparanumber"/>
      </w:pPr>
      <w:r w:rsidRPr="00344DF6">
        <w:t>S</w:t>
      </w:r>
      <w:r w:rsidRPr="00405F86">
        <w:t xml:space="preserve">everal </w:t>
      </w:r>
      <w:r w:rsidR="002D7931" w:rsidRPr="004C21F3">
        <w:t xml:space="preserve">commenters </w:t>
      </w:r>
      <w:r w:rsidR="002D7931">
        <w:rPr>
          <w:szCs w:val="26"/>
        </w:rPr>
        <w:t xml:space="preserve">express concerns that the </w:t>
      </w:r>
      <w:r w:rsidR="00777CB0">
        <w:rPr>
          <w:szCs w:val="26"/>
        </w:rPr>
        <w:t>Amendment</w:t>
      </w:r>
      <w:r w:rsidR="002D7931">
        <w:rPr>
          <w:szCs w:val="26"/>
        </w:rPr>
        <w:t xml:space="preserve"> Project would negatively impact the Dan River through hydrostatic testing water withdrawals and </w:t>
      </w:r>
      <w:r w:rsidR="002D7931">
        <w:rPr>
          <w:szCs w:val="26"/>
        </w:rPr>
        <w:lastRenderedPageBreak/>
        <w:t>sedimentation during pipeline construction.</w:t>
      </w:r>
      <w:r w:rsidR="002D7931" w:rsidRPr="00F43416">
        <w:rPr>
          <w:rStyle w:val="FootnoteReference"/>
        </w:rPr>
        <w:footnoteReference w:id="136"/>
      </w:r>
      <w:r w:rsidR="002D7931">
        <w:rPr>
          <w:szCs w:val="26"/>
        </w:rPr>
        <w:t xml:space="preserve">  As discussed in the EA, Mountain Valley would </w:t>
      </w:r>
      <w:r w:rsidR="002D7931" w:rsidRPr="00DA445B">
        <w:rPr>
          <w:szCs w:val="26"/>
        </w:rPr>
        <w:t>us</w:t>
      </w:r>
      <w:r w:rsidR="002D7931">
        <w:rPr>
          <w:szCs w:val="26"/>
        </w:rPr>
        <w:t>e</w:t>
      </w:r>
      <w:r w:rsidR="002D7931" w:rsidRPr="00DA445B">
        <w:rPr>
          <w:szCs w:val="26"/>
        </w:rPr>
        <w:t xml:space="preserve"> </w:t>
      </w:r>
      <w:r w:rsidR="002D7931">
        <w:rPr>
          <w:szCs w:val="26"/>
        </w:rPr>
        <w:t xml:space="preserve">several mitigation measures during the water withdrawal for hydrostatic testing, including using </w:t>
      </w:r>
      <w:r w:rsidR="002D7931" w:rsidRPr="00DA445B">
        <w:rPr>
          <w:szCs w:val="26"/>
        </w:rPr>
        <w:t>temporary, floating intake structures placed well above the river bottom; refrain</w:t>
      </w:r>
      <w:r w:rsidR="001674F2">
        <w:rPr>
          <w:szCs w:val="26"/>
        </w:rPr>
        <w:t>ing</w:t>
      </w:r>
      <w:r w:rsidR="002D7931" w:rsidRPr="00DA445B">
        <w:rPr>
          <w:szCs w:val="26"/>
        </w:rPr>
        <w:t xml:space="preserve"> from withdrawing water between May 15</w:t>
      </w:r>
      <w:r w:rsidR="002D7931">
        <w:rPr>
          <w:szCs w:val="26"/>
        </w:rPr>
        <w:t xml:space="preserve"> to </w:t>
      </w:r>
      <w:r w:rsidR="002D7931" w:rsidRPr="00DA445B">
        <w:rPr>
          <w:szCs w:val="26"/>
        </w:rPr>
        <w:t>July 31 when Atlantic pigtoe glochidia are present in the water column; us</w:t>
      </w:r>
      <w:r w:rsidR="001674F2">
        <w:rPr>
          <w:szCs w:val="26"/>
        </w:rPr>
        <w:t>ing</w:t>
      </w:r>
      <w:r w:rsidR="002D7931" w:rsidRPr="00DA445B">
        <w:rPr>
          <w:szCs w:val="26"/>
        </w:rPr>
        <w:t xml:space="preserve"> intake screens with mesh less than 1.0</w:t>
      </w:r>
      <w:r w:rsidR="00453F50">
        <w:rPr>
          <w:szCs w:val="26"/>
        </w:rPr>
        <w:t> </w:t>
      </w:r>
      <w:r w:rsidR="002D7931" w:rsidRPr="00DA445B">
        <w:rPr>
          <w:szCs w:val="26"/>
        </w:rPr>
        <w:t xml:space="preserve">millimeter (in accordance with </w:t>
      </w:r>
      <w:r w:rsidR="002D7931">
        <w:rPr>
          <w:szCs w:val="26"/>
        </w:rPr>
        <w:t xml:space="preserve">Virginia Department of Wildlife Resources </w:t>
      </w:r>
      <w:r w:rsidR="002D7931" w:rsidRPr="00DA445B">
        <w:rPr>
          <w:szCs w:val="26"/>
        </w:rPr>
        <w:t>recommendations)</w:t>
      </w:r>
      <w:r w:rsidR="002D7931">
        <w:rPr>
          <w:szCs w:val="26"/>
        </w:rPr>
        <w:t>;</w:t>
      </w:r>
      <w:r w:rsidR="002D7931" w:rsidRPr="00DA445B">
        <w:rPr>
          <w:szCs w:val="26"/>
        </w:rPr>
        <w:t xml:space="preserve"> </w:t>
      </w:r>
      <w:r w:rsidR="002D7931">
        <w:rPr>
          <w:szCs w:val="26"/>
        </w:rPr>
        <w:t>limit</w:t>
      </w:r>
      <w:r w:rsidR="00102FA6">
        <w:rPr>
          <w:szCs w:val="26"/>
        </w:rPr>
        <w:t>ing</w:t>
      </w:r>
      <w:r w:rsidR="002D7931">
        <w:rPr>
          <w:szCs w:val="26"/>
        </w:rPr>
        <w:t xml:space="preserve"> </w:t>
      </w:r>
      <w:r w:rsidR="002D7931" w:rsidRPr="00DA445B">
        <w:rPr>
          <w:szCs w:val="26"/>
        </w:rPr>
        <w:t xml:space="preserve">intake velocity </w:t>
      </w:r>
      <w:r w:rsidR="002D7931">
        <w:rPr>
          <w:szCs w:val="26"/>
        </w:rPr>
        <w:t xml:space="preserve">to </w:t>
      </w:r>
      <w:r w:rsidR="002D7931" w:rsidRPr="00DA445B">
        <w:rPr>
          <w:szCs w:val="26"/>
        </w:rPr>
        <w:t>less than 0.25 feet per second</w:t>
      </w:r>
      <w:r w:rsidR="002D7931">
        <w:rPr>
          <w:szCs w:val="26"/>
        </w:rPr>
        <w:t xml:space="preserve"> with a maximum capacity of 2,000 gallons per minute or approximately 4.5 cubic feet per second (cfs);</w:t>
      </w:r>
      <w:r w:rsidR="002D7931" w:rsidRPr="00DA445B">
        <w:rPr>
          <w:szCs w:val="26"/>
        </w:rPr>
        <w:t xml:space="preserve"> and refrain</w:t>
      </w:r>
      <w:r w:rsidR="00102FA6">
        <w:rPr>
          <w:szCs w:val="26"/>
        </w:rPr>
        <w:t>ing</w:t>
      </w:r>
      <w:r w:rsidR="002D7931">
        <w:rPr>
          <w:szCs w:val="26"/>
        </w:rPr>
        <w:t xml:space="preserve"> </w:t>
      </w:r>
      <w:r w:rsidR="002D7931" w:rsidRPr="00DA445B">
        <w:rPr>
          <w:szCs w:val="26"/>
        </w:rPr>
        <w:t xml:space="preserve">from withdrawing more than </w:t>
      </w:r>
      <w:r w:rsidR="00102FA6">
        <w:rPr>
          <w:szCs w:val="26"/>
        </w:rPr>
        <w:t>ten</w:t>
      </w:r>
      <w:r w:rsidR="002D7931" w:rsidRPr="00DA445B">
        <w:rPr>
          <w:szCs w:val="26"/>
        </w:rPr>
        <w:t xml:space="preserve"> percent of the river’s flow at any time</w:t>
      </w:r>
      <w:r w:rsidR="002D7931">
        <w:rPr>
          <w:szCs w:val="26"/>
        </w:rPr>
        <w:t xml:space="preserve"> to avoid or minimize impacts on aquatic species (including listed species)</w:t>
      </w:r>
      <w:r w:rsidR="002D7931" w:rsidRPr="00DA445B">
        <w:rPr>
          <w:szCs w:val="26"/>
        </w:rPr>
        <w:t>.</w:t>
      </w:r>
      <w:r w:rsidR="002D7931" w:rsidRPr="00C8655B">
        <w:rPr>
          <w:rStyle w:val="FootnoteReference"/>
        </w:rPr>
        <w:footnoteReference w:id="137"/>
      </w:r>
      <w:r w:rsidR="002D7931">
        <w:rPr>
          <w:szCs w:val="26"/>
        </w:rPr>
        <w:t xml:space="preserve">  </w:t>
      </w:r>
      <w:r w:rsidR="000A059F">
        <w:rPr>
          <w:szCs w:val="26"/>
        </w:rPr>
        <w:t xml:space="preserve">Additionally, </w:t>
      </w:r>
      <w:r w:rsidR="002D7931" w:rsidRPr="00E00F06">
        <w:rPr>
          <w:szCs w:val="26"/>
        </w:rPr>
        <w:t>Mountain Valley would</w:t>
      </w:r>
      <w:r w:rsidR="002D7931">
        <w:rPr>
          <w:szCs w:val="26"/>
        </w:rPr>
        <w:t xml:space="preserve"> cross the Dan River via horizontal directional drill, thus avoiding direct effects on th</w:t>
      </w:r>
      <w:r w:rsidR="00761ECF">
        <w:rPr>
          <w:szCs w:val="26"/>
        </w:rPr>
        <w:t>at</w:t>
      </w:r>
      <w:r w:rsidR="002D7931">
        <w:rPr>
          <w:szCs w:val="26"/>
        </w:rPr>
        <w:t xml:space="preserve"> waterbody.</w:t>
      </w:r>
      <w:r w:rsidR="002D7931">
        <w:rPr>
          <w:rStyle w:val="FootnoteReference"/>
          <w:szCs w:val="26"/>
        </w:rPr>
        <w:footnoteReference w:id="138"/>
      </w:r>
      <w:r w:rsidR="002D7931" w:rsidRPr="00E00F06">
        <w:rPr>
          <w:szCs w:val="26"/>
        </w:rPr>
        <w:t xml:space="preserve"> </w:t>
      </w:r>
      <w:r w:rsidR="002D7931">
        <w:rPr>
          <w:szCs w:val="26"/>
        </w:rPr>
        <w:t xml:space="preserve"> Nevertheless, Mountain Vally would </w:t>
      </w:r>
      <w:r w:rsidR="002D7931" w:rsidRPr="00E00F06">
        <w:rPr>
          <w:szCs w:val="26"/>
        </w:rPr>
        <w:t xml:space="preserve">design and install BMPs in compliance with NPDES permit requirements </w:t>
      </w:r>
      <w:r w:rsidR="002D7931">
        <w:rPr>
          <w:szCs w:val="26"/>
        </w:rPr>
        <w:t>to</w:t>
      </w:r>
      <w:r w:rsidR="002D7931" w:rsidRPr="00E00F06">
        <w:rPr>
          <w:szCs w:val="26"/>
        </w:rPr>
        <w:t xml:space="preserve"> control soil erosion and sedimentation down-gradient of construction areas</w:t>
      </w:r>
      <w:r w:rsidR="00DF7F85">
        <w:rPr>
          <w:szCs w:val="26"/>
        </w:rPr>
        <w:t>, and</w:t>
      </w:r>
      <w:r w:rsidR="002D7931">
        <w:rPr>
          <w:szCs w:val="26"/>
        </w:rPr>
        <w:t xml:space="preserve"> </w:t>
      </w:r>
      <w:r w:rsidR="002D7931" w:rsidRPr="00E00F06">
        <w:rPr>
          <w:szCs w:val="26"/>
        </w:rPr>
        <w:t>would restore construction areas and re-establish vegetation in order to prevent erosion and sedimentation into and along waterbodies</w:t>
      </w:r>
      <w:r w:rsidR="002D7931">
        <w:rPr>
          <w:szCs w:val="26"/>
        </w:rPr>
        <w:t>.</w:t>
      </w:r>
      <w:r w:rsidR="002D7931" w:rsidRPr="003F3F17">
        <w:rPr>
          <w:rStyle w:val="FootnoteReference"/>
        </w:rPr>
        <w:footnoteReference w:id="139"/>
      </w:r>
      <w:r w:rsidR="00A86A11">
        <w:rPr>
          <w:szCs w:val="26"/>
        </w:rPr>
        <w:t xml:space="preserve">  With these mitigation </w:t>
      </w:r>
      <w:r w:rsidR="0069515A">
        <w:rPr>
          <w:szCs w:val="26"/>
        </w:rPr>
        <w:t xml:space="preserve">measures, </w:t>
      </w:r>
      <w:r w:rsidR="00201336">
        <w:rPr>
          <w:szCs w:val="26"/>
        </w:rPr>
        <w:t xml:space="preserve">the EA concluded, and we agree, </w:t>
      </w:r>
      <w:r w:rsidR="00496F8F">
        <w:rPr>
          <w:szCs w:val="26"/>
        </w:rPr>
        <w:t>that</w:t>
      </w:r>
      <w:r w:rsidR="00F36FAB">
        <w:rPr>
          <w:szCs w:val="26"/>
        </w:rPr>
        <w:t xml:space="preserve"> </w:t>
      </w:r>
      <w:r w:rsidR="000D07A0">
        <w:rPr>
          <w:szCs w:val="26"/>
        </w:rPr>
        <w:t xml:space="preserve">construction and </w:t>
      </w:r>
      <w:r w:rsidR="001D7B91">
        <w:rPr>
          <w:szCs w:val="26"/>
        </w:rPr>
        <w:t xml:space="preserve">operation of the </w:t>
      </w:r>
      <w:r w:rsidR="00A13F0F">
        <w:rPr>
          <w:szCs w:val="26"/>
        </w:rPr>
        <w:t xml:space="preserve">project would not have </w:t>
      </w:r>
      <w:r w:rsidR="005F3050">
        <w:rPr>
          <w:szCs w:val="26"/>
        </w:rPr>
        <w:t xml:space="preserve">significant effects on </w:t>
      </w:r>
      <w:r w:rsidR="005151FE">
        <w:rPr>
          <w:szCs w:val="26"/>
        </w:rPr>
        <w:t>waterbodies</w:t>
      </w:r>
      <w:r w:rsidR="00B84F46">
        <w:rPr>
          <w:szCs w:val="26"/>
        </w:rPr>
        <w:t>.</w:t>
      </w:r>
    </w:p>
    <w:p w14:paraId="529D3C04" w14:textId="2C40EA35" w:rsidR="00531F21" w:rsidRDefault="00531F21" w:rsidP="00000313">
      <w:pPr>
        <w:pStyle w:val="FERCparanumber"/>
      </w:pPr>
      <w:r>
        <w:t xml:space="preserve">Multiple commenters state </w:t>
      </w:r>
      <w:r w:rsidR="00885AE0">
        <w:t xml:space="preserve">that </w:t>
      </w:r>
      <w:r>
        <w:t>trenchless construction methods would be less harmful to the environment and</w:t>
      </w:r>
      <w:r w:rsidR="00EC17D1">
        <w:t xml:space="preserve"> </w:t>
      </w:r>
      <w:r w:rsidR="00874898">
        <w:t xml:space="preserve">that </w:t>
      </w:r>
      <w:r w:rsidR="00EC17D1">
        <w:t>the Commission</w:t>
      </w:r>
      <w:r>
        <w:t xml:space="preserve"> has not taken this into consideration.</w:t>
      </w:r>
      <w:r w:rsidRPr="003F3F17">
        <w:rPr>
          <w:rStyle w:val="FootnoteReference"/>
        </w:rPr>
        <w:footnoteReference w:id="140"/>
      </w:r>
      <w:r>
        <w:t xml:space="preserve">  The EA states that u</w:t>
      </w:r>
      <w:r w:rsidRPr="009A620A">
        <w:t xml:space="preserve">sing trenchless crossing methods (such as the proposed </w:t>
      </w:r>
      <w:r>
        <w:t>horizontal directional drills [</w:t>
      </w:r>
      <w:r w:rsidRPr="009A620A">
        <w:t>HDD</w:t>
      </w:r>
      <w:r>
        <w:t>]</w:t>
      </w:r>
      <w:r w:rsidRPr="009A620A">
        <w:t xml:space="preserve"> and conventional bores) greatly reduces potential effects on surface waterbodies, particularly compared to open-cut crossings.</w:t>
      </w:r>
      <w:r w:rsidRPr="003F3F17">
        <w:rPr>
          <w:rStyle w:val="FootnoteReference"/>
        </w:rPr>
        <w:footnoteReference w:id="141"/>
      </w:r>
      <w:r>
        <w:t xml:space="preserve">  </w:t>
      </w:r>
      <w:r w:rsidR="000C68D5">
        <w:t xml:space="preserve">As part of the </w:t>
      </w:r>
      <w:r w:rsidR="00777CB0">
        <w:t>Amendment</w:t>
      </w:r>
      <w:r>
        <w:t xml:space="preserve"> Project</w:t>
      </w:r>
      <w:r w:rsidR="000C68D5">
        <w:t>, Mountain Valley propose</w:t>
      </w:r>
      <w:r w:rsidR="00324C74">
        <w:t>d</w:t>
      </w:r>
      <w:r w:rsidR="002D0C31">
        <w:t xml:space="preserve"> to change the </w:t>
      </w:r>
      <w:r w:rsidR="00173E44">
        <w:t xml:space="preserve">previously certificated </w:t>
      </w:r>
      <w:r w:rsidR="002D0C31">
        <w:t>cr</w:t>
      </w:r>
      <w:r w:rsidR="00324C74">
        <w:t xml:space="preserve">ossing method </w:t>
      </w:r>
      <w:r w:rsidR="00173E44">
        <w:t xml:space="preserve">to a </w:t>
      </w:r>
      <w:r>
        <w:t xml:space="preserve">trenchless crossing method (conventional bore) </w:t>
      </w:r>
      <w:r w:rsidR="00324C74">
        <w:t>f</w:t>
      </w:r>
      <w:r w:rsidR="00173E44">
        <w:t>or seventeen waterbodies</w:t>
      </w:r>
      <w:r>
        <w:t>.</w:t>
      </w:r>
      <w:r w:rsidRPr="00591BFE">
        <w:rPr>
          <w:rStyle w:val="FootnoteReference"/>
        </w:rPr>
        <w:footnoteReference w:id="142"/>
      </w:r>
      <w:r>
        <w:t xml:space="preserve">  </w:t>
      </w:r>
      <w:r w:rsidR="007A311A" w:rsidRPr="007A311A">
        <w:t xml:space="preserve">In considering whether to require a trenchless crossing, which </w:t>
      </w:r>
      <w:r w:rsidR="007A311A" w:rsidRPr="007A311A">
        <w:lastRenderedPageBreak/>
        <w:t xml:space="preserve">is more complex and costly and requires additional time and workspace than a trenched crossing, staff considers the significance of the impact that would be avoided.  Here, on balance, Commission staff did not identify any additional streams for which a trenchless crossing technique was warranted.  </w:t>
      </w:r>
      <w:r w:rsidR="00401CDB">
        <w:t xml:space="preserve">Moreover, </w:t>
      </w:r>
      <w:r w:rsidR="00C42DF8">
        <w:t>we note that a</w:t>
      </w:r>
      <w:r>
        <w:t>ll waterbodies not crossed via trenchless methods would be crossed via dry</w:t>
      </w:r>
      <w:r w:rsidR="004C020F">
        <w:t>-</w:t>
      </w:r>
      <w:r>
        <w:t>ditch crossing methods, which are more protective than wet open-cut crossings.</w:t>
      </w:r>
      <w:r w:rsidR="00646C84">
        <w:t xml:space="preserve">  The EA appropriately concludes that</w:t>
      </w:r>
      <w:r w:rsidR="00EA336D">
        <w:t>,</w:t>
      </w:r>
      <w:r w:rsidR="00646C84">
        <w:t xml:space="preserve"> </w:t>
      </w:r>
      <w:r w:rsidR="00254558">
        <w:t xml:space="preserve">with the proposed mitigation measures, the </w:t>
      </w:r>
      <w:r w:rsidR="00777CB0">
        <w:t>Amendment</w:t>
      </w:r>
      <w:r w:rsidR="00254558">
        <w:t xml:space="preserve"> Project would not significantly affect surface water resources.</w:t>
      </w:r>
      <w:r w:rsidR="00254558">
        <w:rPr>
          <w:rStyle w:val="FootnoteReference"/>
        </w:rPr>
        <w:footnoteReference w:id="143"/>
      </w:r>
    </w:p>
    <w:p w14:paraId="78F46E88" w14:textId="77777777" w:rsidR="00740F68" w:rsidRPr="00740F68" w:rsidRDefault="00531F21" w:rsidP="00740F68">
      <w:pPr>
        <w:pStyle w:val="FERCparanumber"/>
        <w:rPr>
          <w:szCs w:val="26"/>
        </w:rPr>
      </w:pPr>
      <w:r>
        <w:t xml:space="preserve">Multiple commenters express concern that construction of the </w:t>
      </w:r>
      <w:r w:rsidR="00777CB0">
        <w:t>Amendment</w:t>
      </w:r>
      <w:r>
        <w:t xml:space="preserve"> Project would be disruptive to waterbodies and affect </w:t>
      </w:r>
      <w:r w:rsidR="002B0969">
        <w:t xml:space="preserve">the </w:t>
      </w:r>
      <w:r>
        <w:t>drinking water of local communities.</w:t>
      </w:r>
      <w:r>
        <w:rPr>
          <w:rStyle w:val="FootnoteReference"/>
        </w:rPr>
        <w:footnoteReference w:id="144"/>
      </w:r>
      <w:r>
        <w:t xml:space="preserve">  </w:t>
      </w:r>
      <w:r w:rsidR="007A311A">
        <w:t>Katherine Williams states that a lack of regulations would allow pollution of waterbodies to occur.</w:t>
      </w:r>
      <w:r w:rsidR="007A311A" w:rsidRPr="00291245">
        <w:rPr>
          <w:rStyle w:val="FootnoteReference"/>
        </w:rPr>
        <w:footnoteReference w:id="145"/>
      </w:r>
      <w:r w:rsidR="007A311A">
        <w:t xml:space="preserve">  </w:t>
      </w:r>
      <w:r>
        <w:t>As stated</w:t>
      </w:r>
      <w:r w:rsidR="002B0969">
        <w:t xml:space="preserve"> above</w:t>
      </w:r>
      <w:r>
        <w:t xml:space="preserve">, </w:t>
      </w:r>
      <w:r w:rsidRPr="00E00F06">
        <w:rPr>
          <w:szCs w:val="26"/>
        </w:rPr>
        <w:t>Mountain Valley would design and install BMPs that control soil erosion and sedimentation down-gradient of construction areas</w:t>
      </w:r>
      <w:r>
        <w:rPr>
          <w:szCs w:val="26"/>
        </w:rPr>
        <w:t xml:space="preserve"> and </w:t>
      </w:r>
      <w:r w:rsidRPr="00E00F06">
        <w:rPr>
          <w:szCs w:val="26"/>
        </w:rPr>
        <w:t>restore construction areas and re-establish vegetation in order to prevent erosion and sedimentation into and along waterbodies</w:t>
      </w:r>
      <w:r>
        <w:rPr>
          <w:szCs w:val="26"/>
        </w:rPr>
        <w:t>.</w:t>
      </w:r>
      <w:r w:rsidRPr="00291245">
        <w:rPr>
          <w:rStyle w:val="FootnoteReference"/>
        </w:rPr>
        <w:footnoteReference w:id="146"/>
      </w:r>
      <w:r>
        <w:rPr>
          <w:szCs w:val="26"/>
        </w:rPr>
        <w:t xml:space="preserve">  These steps would minimize impacts on surface waters.  </w:t>
      </w:r>
      <w:r w:rsidR="00B6157C" w:rsidRPr="00B6157C">
        <w:t xml:space="preserve"> </w:t>
      </w:r>
      <w:r w:rsidR="00F4395B" w:rsidRPr="00F4395B">
        <w:t>Moreover, we note that there are regulations applicable to pollution in waterbodies, and, as stated in the EA, Mountain Valley would be responsible for obtaining and complying with all permits and approvals required to construct and operate the Amendment Project.</w:t>
      </w:r>
      <w:r w:rsidR="00F4395B" w:rsidRPr="00F4395B">
        <w:rPr>
          <w:b/>
          <w:vertAlign w:val="superscript"/>
        </w:rPr>
        <w:footnoteReference w:id="147"/>
      </w:r>
      <w:r w:rsidR="00F4395B" w:rsidRPr="00F4395B">
        <w:t xml:space="preserve">  </w:t>
      </w:r>
      <w:r w:rsidR="00B6157C" w:rsidRPr="003B43EE">
        <w:t>And we note that as part of its certificate, Mountain Valley must file with the Secretary documentation that it has received all applicable authorizations required under Federal law (or evidence of waiver thereof) prior to commencing construction of the Southgate Project, as amended herein.</w:t>
      </w:r>
      <w:r w:rsidR="00B6157C" w:rsidRPr="003B43EE">
        <w:rPr>
          <w:b/>
          <w:vertAlign w:val="superscript"/>
        </w:rPr>
        <w:footnoteReference w:id="148"/>
      </w:r>
      <w:r w:rsidR="00155247">
        <w:t xml:space="preserve">  </w:t>
      </w:r>
      <w:r>
        <w:rPr>
          <w:szCs w:val="26"/>
        </w:rPr>
        <w:t>Additionally, the EA conclude</w:t>
      </w:r>
      <w:r w:rsidR="001A144A">
        <w:rPr>
          <w:szCs w:val="26"/>
        </w:rPr>
        <w:t>s</w:t>
      </w:r>
      <w:r>
        <w:rPr>
          <w:szCs w:val="26"/>
        </w:rPr>
        <w:t xml:space="preserve"> that long-term and significant effects on groundwater </w:t>
      </w:r>
      <w:r w:rsidR="001A144A">
        <w:rPr>
          <w:szCs w:val="26"/>
        </w:rPr>
        <w:t xml:space="preserve">are </w:t>
      </w:r>
      <w:r>
        <w:rPr>
          <w:szCs w:val="26"/>
        </w:rPr>
        <w:t xml:space="preserve">not anticipated as a result of the </w:t>
      </w:r>
      <w:r w:rsidR="00777CB0">
        <w:rPr>
          <w:szCs w:val="26"/>
        </w:rPr>
        <w:t>Amendment</w:t>
      </w:r>
      <w:r>
        <w:rPr>
          <w:szCs w:val="26"/>
        </w:rPr>
        <w:t xml:space="preserve"> Project</w:t>
      </w:r>
      <w:r w:rsidR="001A144A">
        <w:rPr>
          <w:szCs w:val="26"/>
        </w:rPr>
        <w:t>,</w:t>
      </w:r>
      <w:r w:rsidRPr="00E631F6">
        <w:rPr>
          <w:rStyle w:val="FootnoteReference"/>
        </w:rPr>
        <w:footnoteReference w:id="149"/>
      </w:r>
      <w:r>
        <w:rPr>
          <w:szCs w:val="26"/>
        </w:rPr>
        <w:t xml:space="preserve"> and the </w:t>
      </w:r>
      <w:r w:rsidR="00777CB0">
        <w:rPr>
          <w:szCs w:val="26"/>
        </w:rPr>
        <w:t>Amendment</w:t>
      </w:r>
      <w:r>
        <w:rPr>
          <w:szCs w:val="26"/>
        </w:rPr>
        <w:t xml:space="preserve"> Project would not significantly affect surface water.</w:t>
      </w:r>
      <w:r w:rsidRPr="00E631F6">
        <w:rPr>
          <w:rStyle w:val="FootnoteReference"/>
        </w:rPr>
        <w:footnoteReference w:id="150"/>
      </w:r>
      <w:r w:rsidRPr="00E631F6">
        <w:rPr>
          <w:rStyle w:val="FootnoteReference"/>
        </w:rPr>
        <w:t xml:space="preserve"> </w:t>
      </w:r>
      <w:r>
        <w:rPr>
          <w:b/>
          <w:bCs/>
          <w:szCs w:val="26"/>
        </w:rPr>
        <w:t xml:space="preserve"> </w:t>
      </w:r>
      <w:r w:rsidR="00CA55B4">
        <w:rPr>
          <w:szCs w:val="26"/>
        </w:rPr>
        <w:t>We agree.</w:t>
      </w:r>
      <w:r w:rsidR="00740F68" w:rsidRPr="00740F68">
        <w:t xml:space="preserve"> </w:t>
      </w:r>
    </w:p>
    <w:p w14:paraId="75144416" w14:textId="75986236" w:rsidR="00531F21" w:rsidRPr="00740F68" w:rsidRDefault="00740F68" w:rsidP="00740F68">
      <w:pPr>
        <w:pStyle w:val="FERCparanumber"/>
        <w:rPr>
          <w:szCs w:val="26"/>
        </w:rPr>
      </w:pPr>
      <w:r>
        <w:lastRenderedPageBreak/>
        <w:t>Regarding Appalachian Voices’ argument that the EA fails to adequately analyze the impact of numerous waterbody crossings in close proximity to each other,</w:t>
      </w:r>
      <w:r>
        <w:rPr>
          <w:rStyle w:val="FootnoteReference"/>
          <w:szCs w:val="26"/>
        </w:rPr>
        <w:footnoteReference w:id="151"/>
      </w:r>
      <w:r>
        <w:t xml:space="preserve"> we note that the final EIS previously analyzed the waterbody crossings and that the EA assessed the impacts associated with the changes in waterbody crossings (i.e., fewer waterbody crossings overall and more trenchless waterbody crossings).  As discussed in the final EIS, </w:t>
      </w:r>
      <w:r>
        <w:rPr>
          <w:szCs w:val="26"/>
        </w:rPr>
        <w:t>i</w:t>
      </w:r>
      <w:r w:rsidRPr="007279D5">
        <w:rPr>
          <w:szCs w:val="26"/>
        </w:rPr>
        <w:t>n-stream</w:t>
      </w:r>
      <w:r>
        <w:rPr>
          <w:szCs w:val="26"/>
        </w:rPr>
        <w:t xml:space="preserve"> </w:t>
      </w:r>
      <w:r w:rsidRPr="007279D5">
        <w:rPr>
          <w:szCs w:val="26"/>
        </w:rPr>
        <w:t xml:space="preserve">activities, such as open-cut pipeline crossing techniques, </w:t>
      </w:r>
      <w:r w:rsidRPr="005B60AD">
        <w:rPr>
          <w:szCs w:val="26"/>
        </w:rPr>
        <w:t>have the greatest potential to contribute to cumulative impacts on surface water resources through</w:t>
      </w:r>
      <w:r>
        <w:rPr>
          <w:szCs w:val="26"/>
        </w:rPr>
        <w:t xml:space="preserve"> </w:t>
      </w:r>
      <w:r w:rsidRPr="005B60AD">
        <w:rPr>
          <w:szCs w:val="26"/>
        </w:rPr>
        <w:t xml:space="preserve">increased turbidity. </w:t>
      </w:r>
      <w:r>
        <w:rPr>
          <w:szCs w:val="26"/>
        </w:rPr>
        <w:t xml:space="preserve"> </w:t>
      </w:r>
      <w:r w:rsidR="00565841">
        <w:rPr>
          <w:szCs w:val="26"/>
        </w:rPr>
        <w:t>However, t</w:t>
      </w:r>
      <w:r w:rsidRPr="005B60AD">
        <w:rPr>
          <w:szCs w:val="26"/>
        </w:rPr>
        <w:t>hese impacts are typically minor due to the short duration of in-water</w:t>
      </w:r>
      <w:r>
        <w:rPr>
          <w:szCs w:val="26"/>
        </w:rPr>
        <w:t xml:space="preserve"> </w:t>
      </w:r>
      <w:r w:rsidRPr="005B60AD">
        <w:rPr>
          <w:szCs w:val="26"/>
        </w:rPr>
        <w:t>activities.</w:t>
      </w:r>
      <w:r>
        <w:rPr>
          <w:rStyle w:val="FootnoteReference"/>
          <w:szCs w:val="26"/>
        </w:rPr>
        <w:footnoteReference w:id="152"/>
      </w:r>
    </w:p>
    <w:p w14:paraId="7BAAD443" w14:textId="342B1706" w:rsidR="00CA55B4" w:rsidRPr="00CA55B4" w:rsidRDefault="00847FE6" w:rsidP="00063285">
      <w:pPr>
        <w:pStyle w:val="Heading4"/>
        <w:rPr>
          <w:szCs w:val="24"/>
        </w:rPr>
      </w:pPr>
      <w:r w:rsidRPr="00847FE6">
        <w:rPr>
          <w:rFonts w:eastAsiaTheme="minorHAnsi"/>
          <w:kern w:val="0"/>
        </w:rPr>
        <w:t xml:space="preserve">Fisheries, Vegetation, and Wildlife </w:t>
      </w:r>
    </w:p>
    <w:p w14:paraId="6D1464A1" w14:textId="0BB9E7C3" w:rsidR="002A0DED" w:rsidRPr="002419F6" w:rsidRDefault="002A0DED" w:rsidP="00473E2B">
      <w:pPr>
        <w:pStyle w:val="FERCparanumber"/>
        <w:rPr>
          <w:szCs w:val="24"/>
        </w:rPr>
      </w:pPr>
      <w:r w:rsidRPr="00CA55B4">
        <w:t>Several</w:t>
      </w:r>
      <w:r w:rsidRPr="00405F86">
        <w:t xml:space="preserve"> commenters</w:t>
      </w:r>
      <w:r>
        <w:t xml:space="preserve"> express concern about potential impacts on fish, fish spawning in the Dan River, vegetation, wildlife, including threatened and endangered species, and biodiversity.</w:t>
      </w:r>
      <w:r>
        <w:rPr>
          <w:rStyle w:val="FootnoteReference"/>
        </w:rPr>
        <w:footnoteReference w:id="153"/>
      </w:r>
      <w:r>
        <w:t xml:space="preserve"> </w:t>
      </w:r>
      <w:r w:rsidRPr="00D95958">
        <w:rPr>
          <w:szCs w:val="26"/>
        </w:rPr>
        <w:t xml:space="preserve"> </w:t>
      </w:r>
      <w:r>
        <w:rPr>
          <w:szCs w:val="26"/>
        </w:rPr>
        <w:t xml:space="preserve">Biodiversity </w:t>
      </w:r>
      <w:r w:rsidR="00CA55B4">
        <w:rPr>
          <w:szCs w:val="26"/>
        </w:rPr>
        <w:t>(</w:t>
      </w:r>
      <w:r>
        <w:rPr>
          <w:szCs w:val="26"/>
        </w:rPr>
        <w:t>in the context of vegetation</w:t>
      </w:r>
      <w:r w:rsidR="00CA55B4">
        <w:rPr>
          <w:szCs w:val="26"/>
        </w:rPr>
        <w:t>)</w:t>
      </w:r>
      <w:r>
        <w:rPr>
          <w:szCs w:val="26"/>
        </w:rPr>
        <w:t>, wildlife, fisheries</w:t>
      </w:r>
      <w:r w:rsidR="007F2212">
        <w:rPr>
          <w:szCs w:val="26"/>
        </w:rPr>
        <w:t xml:space="preserve"> and aquatic species</w:t>
      </w:r>
      <w:r>
        <w:rPr>
          <w:szCs w:val="26"/>
        </w:rPr>
        <w:t xml:space="preserve">, and special status, threatened, and endangered species are </w:t>
      </w:r>
      <w:r w:rsidR="00CA55B4">
        <w:rPr>
          <w:szCs w:val="26"/>
        </w:rPr>
        <w:t xml:space="preserve">all </w:t>
      </w:r>
      <w:r>
        <w:rPr>
          <w:szCs w:val="26"/>
        </w:rPr>
        <w:t>addressed in the EA</w:t>
      </w:r>
      <w:r w:rsidRPr="00FF4B3C">
        <w:rPr>
          <w:b/>
          <w:szCs w:val="26"/>
          <w:vertAlign w:val="superscript"/>
        </w:rPr>
        <w:footnoteReference w:id="154"/>
      </w:r>
      <w:r>
        <w:rPr>
          <w:szCs w:val="26"/>
        </w:rPr>
        <w:t xml:space="preserve"> and the </w:t>
      </w:r>
      <w:r w:rsidR="005C180B">
        <w:rPr>
          <w:szCs w:val="26"/>
        </w:rPr>
        <w:t>f</w:t>
      </w:r>
      <w:r w:rsidR="00EB2FBC">
        <w:rPr>
          <w:szCs w:val="26"/>
        </w:rPr>
        <w:t xml:space="preserve">inal </w:t>
      </w:r>
      <w:r>
        <w:rPr>
          <w:szCs w:val="26"/>
        </w:rPr>
        <w:t>EIS</w:t>
      </w:r>
      <w:r w:rsidR="009440A0">
        <w:rPr>
          <w:szCs w:val="26"/>
        </w:rPr>
        <w:t xml:space="preserve">, which concluded that </w:t>
      </w:r>
      <w:r w:rsidR="00781B0D">
        <w:rPr>
          <w:szCs w:val="26"/>
        </w:rPr>
        <w:t>effects to these resources woul</w:t>
      </w:r>
      <w:r w:rsidR="00866135">
        <w:rPr>
          <w:szCs w:val="26"/>
        </w:rPr>
        <w:t>d be less than significant</w:t>
      </w:r>
      <w:r w:rsidR="00542682">
        <w:rPr>
          <w:szCs w:val="26"/>
        </w:rPr>
        <w:t xml:space="preserve"> and that </w:t>
      </w:r>
      <w:r w:rsidR="00B438C8">
        <w:rPr>
          <w:szCs w:val="26"/>
        </w:rPr>
        <w:t>the Amendment Project is not likely to adversely affect listed species.</w:t>
      </w:r>
      <w:r w:rsidRPr="00FF4B3C">
        <w:rPr>
          <w:b/>
          <w:szCs w:val="26"/>
          <w:vertAlign w:val="superscript"/>
        </w:rPr>
        <w:footnoteReference w:id="155"/>
      </w:r>
      <w:r>
        <w:rPr>
          <w:szCs w:val="26"/>
        </w:rPr>
        <w:t xml:space="preserve"> </w:t>
      </w:r>
      <w:r w:rsidR="00B06DF1" w:rsidRPr="00B06DF1">
        <w:rPr>
          <w:szCs w:val="26"/>
        </w:rPr>
        <w:t xml:space="preserve"> </w:t>
      </w:r>
      <w:r w:rsidR="00B06DF1">
        <w:rPr>
          <w:szCs w:val="26"/>
        </w:rPr>
        <w:t>Additionally, as noted above, t</w:t>
      </w:r>
      <w:r w:rsidR="00B06DF1" w:rsidRPr="00D9134B">
        <w:rPr>
          <w:szCs w:val="26"/>
        </w:rPr>
        <w:t>he Dan River</w:t>
      </w:r>
      <w:r w:rsidR="00B06DF1">
        <w:rPr>
          <w:szCs w:val="26"/>
        </w:rPr>
        <w:t xml:space="preserve"> would be crossed via HDD to avoid direct impacts on aquatic species and habitats.  </w:t>
      </w:r>
      <w:r w:rsidR="002100D7" w:rsidRPr="009840E6">
        <w:rPr>
          <w:szCs w:val="26"/>
        </w:rPr>
        <w:t xml:space="preserve">Regarding </w:t>
      </w:r>
      <w:r w:rsidR="00BD574F" w:rsidRPr="009840E6">
        <w:rPr>
          <w:szCs w:val="26"/>
        </w:rPr>
        <w:t>threatened and endangered species</w:t>
      </w:r>
      <w:r w:rsidR="002100D7" w:rsidRPr="009840E6">
        <w:rPr>
          <w:szCs w:val="26"/>
        </w:rPr>
        <w:t xml:space="preserve">, </w:t>
      </w:r>
      <w:r w:rsidR="00234945" w:rsidRPr="009840E6">
        <w:rPr>
          <w:szCs w:val="26"/>
        </w:rPr>
        <w:t>Commission staff determined that</w:t>
      </w:r>
      <w:r w:rsidR="00646DA4" w:rsidRPr="009840E6">
        <w:rPr>
          <w:szCs w:val="26"/>
        </w:rPr>
        <w:t xml:space="preserve"> the </w:t>
      </w:r>
      <w:r w:rsidR="00777CB0">
        <w:rPr>
          <w:szCs w:val="26"/>
        </w:rPr>
        <w:t>Amendment</w:t>
      </w:r>
      <w:r w:rsidR="00646DA4" w:rsidRPr="009840E6">
        <w:rPr>
          <w:szCs w:val="26"/>
        </w:rPr>
        <w:t xml:space="preserve"> Project </w:t>
      </w:r>
      <w:r w:rsidR="007B4744" w:rsidRPr="009840E6">
        <w:rPr>
          <w:szCs w:val="26"/>
        </w:rPr>
        <w:t xml:space="preserve">is not likely to adversely affect the </w:t>
      </w:r>
      <w:r w:rsidR="009840E6">
        <w:rPr>
          <w:szCs w:val="26"/>
        </w:rPr>
        <w:t xml:space="preserve">listed </w:t>
      </w:r>
      <w:r w:rsidR="007B4744" w:rsidRPr="009840E6">
        <w:rPr>
          <w:szCs w:val="26"/>
        </w:rPr>
        <w:t>northern long-eared bat,</w:t>
      </w:r>
      <w:r w:rsidR="00234945" w:rsidRPr="009840E6">
        <w:rPr>
          <w:szCs w:val="26"/>
        </w:rPr>
        <w:t xml:space="preserve"> </w:t>
      </w:r>
      <w:r w:rsidR="00CF1BD5" w:rsidRPr="009840E6">
        <w:rPr>
          <w:szCs w:val="26"/>
        </w:rPr>
        <w:t>Atlantic pigtoe, and James</w:t>
      </w:r>
      <w:r w:rsidR="0054273B">
        <w:rPr>
          <w:szCs w:val="26"/>
        </w:rPr>
        <w:t xml:space="preserve"> </w:t>
      </w:r>
      <w:r w:rsidR="00CF1BD5" w:rsidRPr="009840E6">
        <w:rPr>
          <w:szCs w:val="26"/>
        </w:rPr>
        <w:t>spinnymussel.</w:t>
      </w:r>
      <w:r w:rsidR="00BD574F">
        <w:rPr>
          <w:rStyle w:val="FootnoteReference"/>
          <w:szCs w:val="26"/>
        </w:rPr>
        <w:footnoteReference w:id="156"/>
      </w:r>
      <w:r w:rsidR="00CF1BD5" w:rsidRPr="009840E6">
        <w:rPr>
          <w:szCs w:val="26"/>
        </w:rPr>
        <w:t xml:space="preserve">  On November 20, 2025, staff requested FWS’s concurrence with</w:t>
      </w:r>
      <w:r w:rsidR="002419F6" w:rsidRPr="009840E6">
        <w:rPr>
          <w:szCs w:val="26"/>
        </w:rPr>
        <w:t xml:space="preserve"> these</w:t>
      </w:r>
      <w:r w:rsidR="00CF1BD5" w:rsidRPr="009840E6">
        <w:rPr>
          <w:szCs w:val="26"/>
        </w:rPr>
        <w:t xml:space="preserve"> det</w:t>
      </w:r>
      <w:r w:rsidR="00BD574F" w:rsidRPr="009840E6">
        <w:rPr>
          <w:szCs w:val="26"/>
        </w:rPr>
        <w:t>erminations</w:t>
      </w:r>
      <w:r w:rsidR="002419F6" w:rsidRPr="009840E6">
        <w:rPr>
          <w:szCs w:val="26"/>
        </w:rPr>
        <w:t>.</w:t>
      </w:r>
      <w:r w:rsidR="009840E6">
        <w:rPr>
          <w:szCs w:val="26"/>
        </w:rPr>
        <w:t xml:space="preserve">  </w:t>
      </w:r>
      <w:r w:rsidRPr="002419F6">
        <w:rPr>
          <w:szCs w:val="26"/>
        </w:rPr>
        <w:t xml:space="preserve">Environmental Condition 19 </w:t>
      </w:r>
      <w:r w:rsidR="007D5478" w:rsidRPr="002419F6">
        <w:rPr>
          <w:szCs w:val="26"/>
        </w:rPr>
        <w:t>of the Certificate Orde</w:t>
      </w:r>
      <w:r w:rsidR="00820AE9">
        <w:rPr>
          <w:szCs w:val="26"/>
        </w:rPr>
        <w:t>r</w:t>
      </w:r>
      <w:r w:rsidR="00B3474B" w:rsidRPr="002419F6">
        <w:rPr>
          <w:szCs w:val="26"/>
        </w:rPr>
        <w:t xml:space="preserve"> </w:t>
      </w:r>
      <w:r w:rsidR="00820AE9">
        <w:rPr>
          <w:szCs w:val="26"/>
        </w:rPr>
        <w:t>provi</w:t>
      </w:r>
      <w:r w:rsidR="00CB5E46">
        <w:rPr>
          <w:szCs w:val="26"/>
        </w:rPr>
        <w:t>des</w:t>
      </w:r>
      <w:r w:rsidRPr="002419F6">
        <w:rPr>
          <w:szCs w:val="26"/>
        </w:rPr>
        <w:t xml:space="preserve"> </w:t>
      </w:r>
      <w:r w:rsidR="00B3474B" w:rsidRPr="002419F6">
        <w:rPr>
          <w:szCs w:val="26"/>
        </w:rPr>
        <w:t xml:space="preserve">that </w:t>
      </w:r>
      <w:r w:rsidRPr="002419F6">
        <w:rPr>
          <w:szCs w:val="26"/>
        </w:rPr>
        <w:t xml:space="preserve">Mountain Valley </w:t>
      </w:r>
      <w:r w:rsidR="00CB5E46">
        <w:rPr>
          <w:szCs w:val="26"/>
        </w:rPr>
        <w:t xml:space="preserve">may </w:t>
      </w:r>
      <w:r w:rsidRPr="002419F6">
        <w:rPr>
          <w:szCs w:val="26"/>
        </w:rPr>
        <w:t xml:space="preserve">not begin construction until the results of all outstanding biological surveys are filed, </w:t>
      </w:r>
      <w:r w:rsidR="00B3474B" w:rsidRPr="002419F6">
        <w:rPr>
          <w:szCs w:val="26"/>
        </w:rPr>
        <w:t xml:space="preserve">Commission </w:t>
      </w:r>
      <w:r w:rsidRPr="002419F6">
        <w:rPr>
          <w:szCs w:val="26"/>
        </w:rPr>
        <w:t xml:space="preserve">staff completes Endangered Species Act consultation with the FWS, and Mountain Valley receives written notification from the Director of OEP or </w:t>
      </w:r>
      <w:r w:rsidRPr="002419F6">
        <w:rPr>
          <w:szCs w:val="26"/>
        </w:rPr>
        <w:lastRenderedPageBreak/>
        <w:t>designee that construction or use of mitigation may begin.</w:t>
      </w:r>
      <w:r w:rsidR="00B3474B">
        <w:rPr>
          <w:rStyle w:val="FootnoteReference"/>
          <w:szCs w:val="26"/>
        </w:rPr>
        <w:footnoteReference w:id="157"/>
      </w:r>
      <w:r w:rsidRPr="002419F6">
        <w:rPr>
          <w:szCs w:val="26"/>
        </w:rPr>
        <w:t xml:space="preserve">  The EA conclude</w:t>
      </w:r>
      <w:r w:rsidR="00CD377E" w:rsidRPr="002419F6">
        <w:rPr>
          <w:szCs w:val="26"/>
        </w:rPr>
        <w:t>s</w:t>
      </w:r>
      <w:r w:rsidRPr="002419F6">
        <w:rPr>
          <w:szCs w:val="26"/>
        </w:rPr>
        <w:t xml:space="preserve"> that the </w:t>
      </w:r>
      <w:r w:rsidR="00777CB0">
        <w:rPr>
          <w:szCs w:val="26"/>
        </w:rPr>
        <w:t>Amendment</w:t>
      </w:r>
      <w:r w:rsidRPr="002419F6">
        <w:rPr>
          <w:szCs w:val="26"/>
        </w:rPr>
        <w:t xml:space="preserve"> Project would not significantly affect surface waters, including aquatic habitats</w:t>
      </w:r>
      <w:r w:rsidR="00B70712" w:rsidRPr="002419F6">
        <w:rPr>
          <w:szCs w:val="26"/>
        </w:rPr>
        <w:t>,</w:t>
      </w:r>
      <w:r w:rsidRPr="002419F6">
        <w:rPr>
          <w:szCs w:val="26"/>
        </w:rPr>
        <w:t xml:space="preserve"> or wildlife.</w:t>
      </w:r>
      <w:r w:rsidRPr="00291245">
        <w:rPr>
          <w:rStyle w:val="FootnoteReference"/>
        </w:rPr>
        <w:footnoteReference w:id="158"/>
      </w:r>
      <w:r w:rsidRPr="002419F6">
        <w:rPr>
          <w:szCs w:val="26"/>
        </w:rPr>
        <w:t xml:space="preserve">  We agree.</w:t>
      </w:r>
    </w:p>
    <w:p w14:paraId="3D47B526" w14:textId="27E804B9" w:rsidR="007A2C30" w:rsidRPr="00683362" w:rsidRDefault="004C7B68" w:rsidP="00683362">
      <w:pPr>
        <w:pStyle w:val="FERCparanumber"/>
      </w:pPr>
      <w:r>
        <w:t>Some comments expressed concern</w:t>
      </w:r>
      <w:r w:rsidR="002A0DED" w:rsidRPr="003D0737">
        <w:t xml:space="preserve"> regarding forests</w:t>
      </w:r>
      <w:r w:rsidR="002A0DED" w:rsidRPr="00307816">
        <w:rPr>
          <w:rStyle w:val="FootnoteReference"/>
        </w:rPr>
        <w:footnoteReference w:id="159"/>
      </w:r>
      <w:r w:rsidR="002A0DED" w:rsidRPr="003D0737">
        <w:t xml:space="preserve"> and wilderness.</w:t>
      </w:r>
      <w:r w:rsidR="002A0DED" w:rsidRPr="00307816">
        <w:rPr>
          <w:rStyle w:val="FootnoteReference"/>
        </w:rPr>
        <w:footnoteReference w:id="160"/>
      </w:r>
      <w:r w:rsidR="002A0DED" w:rsidRPr="003D0737">
        <w:t xml:space="preserve">  </w:t>
      </w:r>
      <w:r w:rsidR="006951C9" w:rsidRPr="003D0737">
        <w:t xml:space="preserve">The </w:t>
      </w:r>
      <w:r w:rsidR="006951C9">
        <w:t>Amendment</w:t>
      </w:r>
      <w:r w:rsidR="006951C9" w:rsidRPr="003D0737">
        <w:t xml:space="preserve"> Project would not cross or impact wilderness areas.  </w:t>
      </w:r>
      <w:r w:rsidR="00F46220">
        <w:t>With respect to forested land, a</w:t>
      </w:r>
      <w:r w:rsidR="002A0DED">
        <w:t xml:space="preserve">s indicated in the EA, the </w:t>
      </w:r>
      <w:r w:rsidR="00777CB0">
        <w:t>Amendment</w:t>
      </w:r>
      <w:r w:rsidR="002A0DED">
        <w:t xml:space="preserve"> Project affects substantially less forest than the</w:t>
      </w:r>
      <w:r>
        <w:t xml:space="preserve"> </w:t>
      </w:r>
      <w:r w:rsidR="00F77208">
        <w:t>originally certificated project</w:t>
      </w:r>
      <w:r w:rsidR="002A0DED">
        <w:t>.</w:t>
      </w:r>
      <w:r w:rsidR="002A0DED">
        <w:rPr>
          <w:rStyle w:val="FootnoteReference"/>
        </w:rPr>
        <w:footnoteReference w:id="161"/>
      </w:r>
      <w:r w:rsidR="002A0DED">
        <w:t xml:space="preserve"> </w:t>
      </w:r>
      <w:r w:rsidR="002A0DED" w:rsidRPr="00B52051">
        <w:t xml:space="preserve"> </w:t>
      </w:r>
      <w:r w:rsidR="00AA751B">
        <w:t xml:space="preserve">The </w:t>
      </w:r>
      <w:r w:rsidR="00451A09">
        <w:t xml:space="preserve">EA </w:t>
      </w:r>
      <w:r w:rsidR="00372DE4">
        <w:t xml:space="preserve">appropriately </w:t>
      </w:r>
      <w:r w:rsidR="00451A09">
        <w:t xml:space="preserve">found, with implementation of Mountain Valley’s construction and </w:t>
      </w:r>
      <w:r w:rsidR="00372DE4">
        <w:t>mitigation</w:t>
      </w:r>
      <w:r w:rsidR="009223DE">
        <w:t xml:space="preserve"> measures, the </w:t>
      </w:r>
      <w:r w:rsidR="00777CB0">
        <w:t>Amendment</w:t>
      </w:r>
      <w:r w:rsidR="009223DE">
        <w:t xml:space="preserve"> Project would not result in significant effects on vegetation</w:t>
      </w:r>
      <w:r w:rsidR="003C05B5">
        <w:t>, which includes forests</w:t>
      </w:r>
      <w:r w:rsidR="00EC7C23">
        <w:t>.</w:t>
      </w:r>
      <w:r w:rsidR="00EC7C23">
        <w:rPr>
          <w:rStyle w:val="FootnoteReference"/>
        </w:rPr>
        <w:footnoteReference w:id="162"/>
      </w:r>
      <w:r w:rsidR="00EC7C23">
        <w:t xml:space="preserve">  </w:t>
      </w:r>
    </w:p>
    <w:p w14:paraId="4D8EB94F" w14:textId="061D8D08" w:rsidR="001F2931" w:rsidRPr="004056CF" w:rsidRDefault="001F2931" w:rsidP="008838CE">
      <w:pPr>
        <w:pStyle w:val="Heading4"/>
      </w:pPr>
      <w:r w:rsidRPr="004056CF">
        <w:rPr>
          <w:rFonts w:eastAsiaTheme="minorHAnsi"/>
          <w:kern w:val="0"/>
        </w:rPr>
        <w:t>Air Quality</w:t>
      </w:r>
    </w:p>
    <w:p w14:paraId="1552D350" w14:textId="027302C1" w:rsidR="001F2931" w:rsidRPr="00717EE8" w:rsidRDefault="00717EE8" w:rsidP="00717EE8">
      <w:pPr>
        <w:pStyle w:val="FERCparanumber"/>
      </w:pPr>
      <w:r w:rsidRPr="00344DF6">
        <w:t>S</w:t>
      </w:r>
      <w:r w:rsidRPr="00405F86">
        <w:t>everal commenters</w:t>
      </w:r>
      <w:r w:rsidR="00936CEA">
        <w:t>,</w:t>
      </w:r>
      <w:r>
        <w:t xml:space="preserve"> </w:t>
      </w:r>
      <w:r w:rsidR="00936CEA">
        <w:rPr>
          <w:szCs w:val="26"/>
        </w:rPr>
        <w:t xml:space="preserve">including </w:t>
      </w:r>
      <w:r w:rsidR="00936CEA" w:rsidRPr="000E767C">
        <w:rPr>
          <w:szCs w:val="26"/>
        </w:rPr>
        <w:t>7 Directions of Service</w:t>
      </w:r>
      <w:r w:rsidR="00936CEA">
        <w:rPr>
          <w:szCs w:val="26"/>
        </w:rPr>
        <w:t>,</w:t>
      </w:r>
      <w:r w:rsidR="00936CEA">
        <w:t xml:space="preserve"> </w:t>
      </w:r>
      <w:r>
        <w:t>express concern about potential impacts on air quality</w:t>
      </w:r>
      <w:r w:rsidR="004B5EAF">
        <w:rPr>
          <w:szCs w:val="26"/>
        </w:rPr>
        <w:t>.</w:t>
      </w:r>
      <w:r>
        <w:rPr>
          <w:rStyle w:val="FootnoteReference"/>
        </w:rPr>
        <w:footnoteReference w:id="163"/>
      </w:r>
      <w:r w:rsidRPr="000E767C">
        <w:rPr>
          <w:szCs w:val="26"/>
        </w:rPr>
        <w:t xml:space="preserve"> </w:t>
      </w:r>
      <w:r>
        <w:rPr>
          <w:szCs w:val="26"/>
        </w:rPr>
        <w:t xml:space="preserve"> </w:t>
      </w:r>
      <w:r w:rsidR="005944C7">
        <w:rPr>
          <w:szCs w:val="26"/>
        </w:rPr>
        <w:t>The EA finds that t</w:t>
      </w:r>
      <w:r>
        <w:rPr>
          <w:szCs w:val="26"/>
        </w:rPr>
        <w:t xml:space="preserve">he effects of construction on air </w:t>
      </w:r>
      <w:r>
        <w:rPr>
          <w:szCs w:val="26"/>
        </w:rPr>
        <w:lastRenderedPageBreak/>
        <w:t>quality would be minor, temporary, and localized.</w:t>
      </w:r>
      <w:r w:rsidRPr="00D64EB1">
        <w:rPr>
          <w:b/>
          <w:szCs w:val="26"/>
          <w:vertAlign w:val="superscript"/>
        </w:rPr>
        <w:footnoteReference w:id="164"/>
      </w:r>
      <w:r>
        <w:rPr>
          <w:szCs w:val="26"/>
        </w:rPr>
        <w:t xml:space="preserve">  </w:t>
      </w:r>
      <w:r w:rsidR="008D40C7">
        <w:rPr>
          <w:szCs w:val="26"/>
        </w:rPr>
        <w:t>T</w:t>
      </w:r>
      <w:r w:rsidRPr="00E55C67">
        <w:rPr>
          <w:szCs w:val="26"/>
        </w:rPr>
        <w:t xml:space="preserve">he EA </w:t>
      </w:r>
      <w:r w:rsidR="00C17959">
        <w:rPr>
          <w:szCs w:val="26"/>
        </w:rPr>
        <w:t xml:space="preserve">also </w:t>
      </w:r>
      <w:r w:rsidRPr="00E55C67">
        <w:rPr>
          <w:szCs w:val="26"/>
        </w:rPr>
        <w:t>finds that</w:t>
      </w:r>
      <w:r w:rsidR="00B63920">
        <w:rPr>
          <w:szCs w:val="26"/>
        </w:rPr>
        <w:t xml:space="preserve"> during operation</w:t>
      </w:r>
      <w:r w:rsidRPr="00E55C67">
        <w:rPr>
          <w:szCs w:val="26"/>
        </w:rPr>
        <w:t xml:space="preserve"> the </w:t>
      </w:r>
      <w:r w:rsidR="00777CB0">
        <w:rPr>
          <w:szCs w:val="26"/>
        </w:rPr>
        <w:t>Amendment</w:t>
      </w:r>
      <w:r>
        <w:rPr>
          <w:szCs w:val="26"/>
        </w:rPr>
        <w:t xml:space="preserve"> Project</w:t>
      </w:r>
      <w:r w:rsidRPr="00E55C67">
        <w:rPr>
          <w:szCs w:val="26"/>
        </w:rPr>
        <w:t xml:space="preserve"> would not result in significant air quality impacts because of low emissions from the </w:t>
      </w:r>
      <w:r>
        <w:rPr>
          <w:szCs w:val="26"/>
        </w:rPr>
        <w:t>interconnects (</w:t>
      </w:r>
      <w:r w:rsidRPr="00E55C67">
        <w:rPr>
          <w:szCs w:val="26"/>
        </w:rPr>
        <w:t>meter stations</w:t>
      </w:r>
      <w:r>
        <w:rPr>
          <w:szCs w:val="26"/>
        </w:rPr>
        <w:t>)</w:t>
      </w:r>
      <w:r w:rsidRPr="00E55C67">
        <w:rPr>
          <w:szCs w:val="26"/>
        </w:rPr>
        <w:t xml:space="preserve"> and pipeline segments</w:t>
      </w:r>
      <w:r>
        <w:rPr>
          <w:szCs w:val="26"/>
        </w:rPr>
        <w:t>.</w:t>
      </w:r>
      <w:r w:rsidRPr="00D64EB1">
        <w:rPr>
          <w:b/>
          <w:szCs w:val="26"/>
          <w:vertAlign w:val="superscript"/>
        </w:rPr>
        <w:footnoteReference w:id="165"/>
      </w:r>
      <w:r>
        <w:rPr>
          <w:szCs w:val="26"/>
        </w:rPr>
        <w:t xml:space="preserve"> </w:t>
      </w:r>
      <w:r w:rsidR="006E4D33">
        <w:rPr>
          <w:szCs w:val="26"/>
        </w:rPr>
        <w:t xml:space="preserve"> </w:t>
      </w:r>
      <w:r w:rsidR="005025DB" w:rsidRPr="005025DB">
        <w:rPr>
          <w:szCs w:val="26"/>
        </w:rPr>
        <w:t xml:space="preserve">The  EA concludes that the Amendment Project would result in a decrease in operational emissions compared to the certificated </w:t>
      </w:r>
      <w:r w:rsidR="006E4D33">
        <w:rPr>
          <w:szCs w:val="26"/>
        </w:rPr>
        <w:t>p</w:t>
      </w:r>
      <w:r w:rsidR="005025DB" w:rsidRPr="005025DB">
        <w:rPr>
          <w:szCs w:val="26"/>
        </w:rPr>
        <w:t>roject.</w:t>
      </w:r>
      <w:r>
        <w:rPr>
          <w:szCs w:val="26"/>
        </w:rPr>
        <w:t xml:space="preserve"> </w:t>
      </w:r>
      <w:r w:rsidR="005025DB">
        <w:rPr>
          <w:szCs w:val="26"/>
        </w:rPr>
        <w:t xml:space="preserve"> </w:t>
      </w:r>
      <w:r>
        <w:rPr>
          <w:szCs w:val="26"/>
        </w:rPr>
        <w:t>We agree.</w:t>
      </w:r>
    </w:p>
    <w:p w14:paraId="67C7D5FB" w14:textId="574938C9" w:rsidR="00D633B6" w:rsidRPr="00C75F7E" w:rsidRDefault="00C75F7E" w:rsidP="00C75F7E">
      <w:pPr>
        <w:pStyle w:val="Heading4"/>
        <w:rPr>
          <w:rFonts w:eastAsiaTheme="minorHAnsi"/>
          <w:kern w:val="0"/>
        </w:rPr>
      </w:pPr>
      <w:r w:rsidRPr="00C75F7E">
        <w:rPr>
          <w:rFonts w:eastAsiaTheme="minorHAnsi"/>
          <w:kern w:val="0"/>
        </w:rPr>
        <w:t>Reliability and Safety</w:t>
      </w:r>
    </w:p>
    <w:p w14:paraId="1F39B9AA" w14:textId="4B496676" w:rsidR="00586D12" w:rsidRPr="00D010DE" w:rsidRDefault="00586D12" w:rsidP="00586D12">
      <w:pPr>
        <w:pStyle w:val="FERCparanumber"/>
        <w:rPr>
          <w:szCs w:val="26"/>
        </w:rPr>
      </w:pPr>
      <w:r>
        <w:rPr>
          <w:szCs w:val="26"/>
        </w:rPr>
        <w:t>Appalachian Voices assert</w:t>
      </w:r>
      <w:r w:rsidR="00DC7D7C">
        <w:rPr>
          <w:szCs w:val="26"/>
        </w:rPr>
        <w:t>s</w:t>
      </w:r>
      <w:r w:rsidR="0089249A">
        <w:rPr>
          <w:szCs w:val="26"/>
        </w:rPr>
        <w:t xml:space="preserve"> that</w:t>
      </w:r>
      <w:r>
        <w:rPr>
          <w:szCs w:val="26"/>
        </w:rPr>
        <w:t xml:space="preserve"> the EA did not fully consider the proposed increase in pipeline diameter or the increase in natural gas capacity along with associated changes in blast zone and safety hazards.</w:t>
      </w:r>
      <w:r w:rsidRPr="008541FF">
        <w:rPr>
          <w:rStyle w:val="FootnoteReference"/>
        </w:rPr>
        <w:footnoteReference w:id="166"/>
      </w:r>
      <w:r>
        <w:rPr>
          <w:szCs w:val="26"/>
        </w:rPr>
        <w:t xml:space="preserve">  </w:t>
      </w:r>
      <w:r w:rsidRPr="00892F80">
        <w:rPr>
          <w:szCs w:val="26"/>
        </w:rPr>
        <w:t xml:space="preserve">The EA includes updated information regarding the </w:t>
      </w:r>
      <w:r w:rsidR="00777CB0">
        <w:rPr>
          <w:szCs w:val="26"/>
        </w:rPr>
        <w:t>Amendment</w:t>
      </w:r>
      <w:r w:rsidRPr="00892F80">
        <w:rPr>
          <w:szCs w:val="26"/>
        </w:rPr>
        <w:t xml:space="preserve"> Project’s potential impact radius.</w:t>
      </w:r>
      <w:r>
        <w:rPr>
          <w:rStyle w:val="FootnoteReference"/>
          <w:szCs w:val="26"/>
        </w:rPr>
        <w:footnoteReference w:id="167"/>
      </w:r>
      <w:r w:rsidRPr="00892F80">
        <w:rPr>
          <w:szCs w:val="26"/>
        </w:rPr>
        <w:t xml:space="preserve">  </w:t>
      </w:r>
      <w:r w:rsidR="00ED669C">
        <w:rPr>
          <w:szCs w:val="26"/>
        </w:rPr>
        <w:t>It</w:t>
      </w:r>
      <w:r>
        <w:rPr>
          <w:szCs w:val="26"/>
        </w:rPr>
        <w:t xml:space="preserve"> </w:t>
      </w:r>
      <w:r w:rsidR="00ED669C">
        <w:rPr>
          <w:szCs w:val="26"/>
        </w:rPr>
        <w:t>explains</w:t>
      </w:r>
      <w:r>
        <w:rPr>
          <w:szCs w:val="26"/>
        </w:rPr>
        <w:t xml:space="preserve"> that t</w:t>
      </w:r>
      <w:r w:rsidRPr="00D32C7C">
        <w:rPr>
          <w:szCs w:val="26"/>
        </w:rPr>
        <w:t xml:space="preserve">he </w:t>
      </w:r>
      <w:r w:rsidR="00777CB0">
        <w:rPr>
          <w:szCs w:val="26"/>
        </w:rPr>
        <w:t>Amendment</w:t>
      </w:r>
      <w:r w:rsidRPr="00D32C7C">
        <w:rPr>
          <w:szCs w:val="26"/>
        </w:rPr>
        <w:t xml:space="preserve"> Project facilities would be designed, constructed, operated, and maintained in accordance with the D</w:t>
      </w:r>
      <w:r>
        <w:rPr>
          <w:szCs w:val="26"/>
        </w:rPr>
        <w:t xml:space="preserve">epartment of </w:t>
      </w:r>
      <w:r w:rsidRPr="00D32C7C">
        <w:rPr>
          <w:szCs w:val="26"/>
        </w:rPr>
        <w:t>T</w:t>
      </w:r>
      <w:r>
        <w:rPr>
          <w:szCs w:val="26"/>
        </w:rPr>
        <w:t>ransportation</w:t>
      </w:r>
      <w:r w:rsidRPr="00D32C7C">
        <w:rPr>
          <w:szCs w:val="26"/>
        </w:rPr>
        <w:t xml:space="preserve"> Minimum Federal Safety Standards in 49 CFR Part 192 and other applicable federal and state regulations</w:t>
      </w:r>
      <w:r w:rsidR="00B7647F">
        <w:rPr>
          <w:szCs w:val="26"/>
        </w:rPr>
        <w:t>,</w:t>
      </w:r>
      <w:r>
        <w:rPr>
          <w:szCs w:val="26"/>
        </w:rPr>
        <w:t xml:space="preserve"> and that with compliance</w:t>
      </w:r>
      <w:r w:rsidR="00FA130B">
        <w:rPr>
          <w:szCs w:val="26"/>
        </w:rPr>
        <w:t xml:space="preserve"> with these requirements</w:t>
      </w:r>
      <w:r>
        <w:rPr>
          <w:szCs w:val="26"/>
        </w:rPr>
        <w:t>, the project would present a minimum risk to the public</w:t>
      </w:r>
      <w:r w:rsidRPr="00D32C7C">
        <w:rPr>
          <w:szCs w:val="26"/>
        </w:rPr>
        <w:t>.</w:t>
      </w:r>
      <w:r w:rsidRPr="00291245">
        <w:rPr>
          <w:rStyle w:val="FootnoteReference"/>
        </w:rPr>
        <w:footnoteReference w:id="168"/>
      </w:r>
      <w:r>
        <w:rPr>
          <w:szCs w:val="26"/>
        </w:rPr>
        <w:t xml:space="preserve">  We agree.</w:t>
      </w:r>
      <w:r w:rsidRPr="00291245" w:rsidDel="00892F80">
        <w:rPr>
          <w:rStyle w:val="FootnoteReference"/>
        </w:rPr>
        <w:t xml:space="preserve"> </w:t>
      </w:r>
    </w:p>
    <w:p w14:paraId="049481B5" w14:textId="29068FCE" w:rsidR="00586D12" w:rsidRPr="00D010DE" w:rsidRDefault="00586D12" w:rsidP="00586D12">
      <w:pPr>
        <w:pStyle w:val="FERCparanumber"/>
        <w:rPr>
          <w:szCs w:val="26"/>
        </w:rPr>
      </w:pPr>
      <w:r w:rsidRPr="000944EB">
        <w:rPr>
          <w:szCs w:val="26"/>
        </w:rPr>
        <w:t>One commenter expresse</w:t>
      </w:r>
      <w:r w:rsidR="00FA130B">
        <w:rPr>
          <w:szCs w:val="26"/>
        </w:rPr>
        <w:t>s</w:t>
      </w:r>
      <w:r w:rsidRPr="000944EB">
        <w:rPr>
          <w:szCs w:val="26"/>
        </w:rPr>
        <w:t xml:space="preserve"> concern </w:t>
      </w:r>
      <w:r w:rsidR="008B35D5">
        <w:rPr>
          <w:szCs w:val="26"/>
        </w:rPr>
        <w:t xml:space="preserve">with pipeline </w:t>
      </w:r>
      <w:r w:rsidR="00513D69">
        <w:rPr>
          <w:szCs w:val="26"/>
        </w:rPr>
        <w:t>companies using poor welds during construction</w:t>
      </w:r>
      <w:r w:rsidRPr="000944EB">
        <w:rPr>
          <w:szCs w:val="26"/>
        </w:rPr>
        <w:t>.</w:t>
      </w:r>
      <w:r w:rsidRPr="00FC45DC">
        <w:rPr>
          <w:rStyle w:val="FootnoteReference"/>
        </w:rPr>
        <w:footnoteReference w:id="169"/>
      </w:r>
      <w:r w:rsidRPr="000944EB">
        <w:rPr>
          <w:szCs w:val="26"/>
        </w:rPr>
        <w:t xml:space="preserve">  As stated in section 2.4</w:t>
      </w:r>
      <w:r w:rsidRPr="000944EB" w:rsidDel="00AD75FE">
        <w:rPr>
          <w:szCs w:val="26"/>
        </w:rPr>
        <w:t>.1.4</w:t>
      </w:r>
      <w:r w:rsidRPr="000944EB">
        <w:rPr>
          <w:szCs w:val="26"/>
        </w:rPr>
        <w:t xml:space="preserve"> of the </w:t>
      </w:r>
      <w:r w:rsidR="00513D69">
        <w:rPr>
          <w:szCs w:val="26"/>
        </w:rPr>
        <w:t>f</w:t>
      </w:r>
      <w:r w:rsidR="006323DA">
        <w:rPr>
          <w:szCs w:val="26"/>
        </w:rPr>
        <w:t xml:space="preserve">inal </w:t>
      </w:r>
      <w:r w:rsidRPr="000944EB">
        <w:rPr>
          <w:szCs w:val="26"/>
        </w:rPr>
        <w:t xml:space="preserve">EIS, welders must meet qualification standards per </w:t>
      </w:r>
      <w:r w:rsidR="00CE6564">
        <w:rPr>
          <w:szCs w:val="26"/>
        </w:rPr>
        <w:t xml:space="preserve">the Department of Transportation’s regulations in </w:t>
      </w:r>
      <w:r w:rsidRPr="000944EB">
        <w:rPr>
          <w:szCs w:val="26"/>
        </w:rPr>
        <w:t>49 CFR 192 Subpart E, American Petroleum Standard 1104</w:t>
      </w:r>
      <w:r w:rsidR="00D77DE3">
        <w:rPr>
          <w:szCs w:val="26"/>
        </w:rPr>
        <w:t xml:space="preserve"> (2025)</w:t>
      </w:r>
      <w:r w:rsidRPr="000944EB">
        <w:rPr>
          <w:szCs w:val="26"/>
        </w:rPr>
        <w:t>, and other requirements, and every completed weld would be examined by a welding inspector to determine its quality using radiographic or other approved methods as outlined in 49 CFR 192.</w:t>
      </w:r>
      <w:r w:rsidRPr="00FC45DC">
        <w:rPr>
          <w:rStyle w:val="FootnoteReference"/>
        </w:rPr>
        <w:footnoteReference w:id="170"/>
      </w:r>
      <w:r w:rsidRPr="000944EB">
        <w:rPr>
          <w:szCs w:val="26"/>
        </w:rPr>
        <w:t xml:space="preserve">  Defective welds </w:t>
      </w:r>
      <w:r w:rsidRPr="000944EB">
        <w:rPr>
          <w:szCs w:val="26"/>
        </w:rPr>
        <w:lastRenderedPageBreak/>
        <w:t>would be repaired or replaced.  The completed pipeline would then be hydrostatically tested under pressure to detect leaks.</w:t>
      </w:r>
      <w:r>
        <w:rPr>
          <w:szCs w:val="26"/>
        </w:rPr>
        <w:t xml:space="preserve">  </w:t>
      </w:r>
    </w:p>
    <w:p w14:paraId="5040B327" w14:textId="6CA1E94C" w:rsidR="00586D12" w:rsidRPr="00D02D02" w:rsidRDefault="00586D12" w:rsidP="00586D12">
      <w:pPr>
        <w:pStyle w:val="FERCparanumber"/>
        <w:rPr>
          <w:szCs w:val="26"/>
        </w:rPr>
      </w:pPr>
      <w:r w:rsidRPr="00936B0D">
        <w:rPr>
          <w:szCs w:val="26"/>
        </w:rPr>
        <w:t>Sierra Club</w:t>
      </w:r>
      <w:r w:rsidR="000B6543">
        <w:rPr>
          <w:szCs w:val="26"/>
        </w:rPr>
        <w:t xml:space="preserve"> expresses</w:t>
      </w:r>
      <w:r>
        <w:rPr>
          <w:szCs w:val="26"/>
        </w:rPr>
        <w:t xml:space="preserve"> concern about pipeline thickness, </w:t>
      </w:r>
      <w:r w:rsidRPr="00377A7D">
        <w:rPr>
          <w:szCs w:val="26"/>
        </w:rPr>
        <w:t>automatic leak detection</w:t>
      </w:r>
      <w:r>
        <w:rPr>
          <w:szCs w:val="26"/>
        </w:rPr>
        <w:t>,</w:t>
      </w:r>
      <w:r w:rsidRPr="00377A7D">
        <w:rPr>
          <w:szCs w:val="26"/>
        </w:rPr>
        <w:t xml:space="preserve"> automatic shutoff</w:t>
      </w:r>
      <w:r>
        <w:rPr>
          <w:szCs w:val="26"/>
        </w:rPr>
        <w:t xml:space="preserve"> valve</w:t>
      </w:r>
      <w:r w:rsidRPr="00377A7D">
        <w:rPr>
          <w:szCs w:val="26"/>
        </w:rPr>
        <w:t>s</w:t>
      </w:r>
      <w:r w:rsidR="005A3DFD">
        <w:rPr>
          <w:szCs w:val="26"/>
        </w:rPr>
        <w:t xml:space="preserve">, and </w:t>
      </w:r>
      <w:r w:rsidR="00CC75F9">
        <w:rPr>
          <w:szCs w:val="26"/>
        </w:rPr>
        <w:t xml:space="preserve">the use of </w:t>
      </w:r>
      <w:r w:rsidR="005A3DFD">
        <w:rPr>
          <w:szCs w:val="26"/>
        </w:rPr>
        <w:t>dangerous chemicals</w:t>
      </w:r>
      <w:r>
        <w:rPr>
          <w:szCs w:val="26"/>
        </w:rPr>
        <w:t>.</w:t>
      </w:r>
      <w:r w:rsidRPr="00291245">
        <w:rPr>
          <w:rStyle w:val="FootnoteReference"/>
        </w:rPr>
        <w:footnoteReference w:id="171"/>
      </w:r>
      <w:r w:rsidRPr="00070EE6">
        <w:t xml:space="preserve"> </w:t>
      </w:r>
      <w:r>
        <w:rPr>
          <w:szCs w:val="26"/>
        </w:rPr>
        <w:t xml:space="preserve"> The safety of the pipeline is discussed in section B.10 of the EA</w:t>
      </w:r>
      <w:r w:rsidR="00255657">
        <w:rPr>
          <w:szCs w:val="26"/>
        </w:rPr>
        <w:t>,</w:t>
      </w:r>
      <w:r w:rsidRPr="00291245">
        <w:rPr>
          <w:rStyle w:val="FootnoteReference"/>
        </w:rPr>
        <w:footnoteReference w:id="172"/>
      </w:r>
      <w:r>
        <w:rPr>
          <w:szCs w:val="26"/>
        </w:rPr>
        <w:t xml:space="preserve"> and the pipeline would utilize remote control valves, which is unchanged from the </w:t>
      </w:r>
      <w:r w:rsidR="00255657">
        <w:rPr>
          <w:szCs w:val="26"/>
        </w:rPr>
        <w:t>originally certificated project, as analyzed in the f</w:t>
      </w:r>
      <w:r w:rsidR="005A3DFD">
        <w:rPr>
          <w:szCs w:val="26"/>
        </w:rPr>
        <w:t xml:space="preserve">inal </w:t>
      </w:r>
      <w:r>
        <w:rPr>
          <w:szCs w:val="26"/>
        </w:rPr>
        <w:t>EIS.</w:t>
      </w:r>
      <w:r w:rsidRPr="00291245">
        <w:rPr>
          <w:rStyle w:val="FootnoteReference"/>
        </w:rPr>
        <w:footnoteReference w:id="173"/>
      </w:r>
      <w:r>
        <w:rPr>
          <w:szCs w:val="26"/>
        </w:rPr>
        <w:t xml:space="preserve">  </w:t>
      </w:r>
    </w:p>
    <w:p w14:paraId="0B65960B" w14:textId="61BD9325" w:rsidR="00586D12" w:rsidRPr="00586D12" w:rsidRDefault="00586D12" w:rsidP="00586D12">
      <w:pPr>
        <w:pStyle w:val="FERCparanumber"/>
        <w:rPr>
          <w:szCs w:val="24"/>
        </w:rPr>
      </w:pPr>
      <w:r>
        <w:rPr>
          <w:szCs w:val="26"/>
        </w:rPr>
        <w:t>Several comment</w:t>
      </w:r>
      <w:r w:rsidR="00CC75F9">
        <w:rPr>
          <w:szCs w:val="26"/>
        </w:rPr>
        <w:t>e</w:t>
      </w:r>
      <w:r>
        <w:rPr>
          <w:szCs w:val="26"/>
        </w:rPr>
        <w:t xml:space="preserve">rs expressed concern regarding </w:t>
      </w:r>
      <w:r w:rsidR="0006584D">
        <w:rPr>
          <w:szCs w:val="26"/>
        </w:rPr>
        <w:t xml:space="preserve">the </w:t>
      </w:r>
      <w:r>
        <w:rPr>
          <w:szCs w:val="26"/>
        </w:rPr>
        <w:t xml:space="preserve">collocation of the </w:t>
      </w:r>
      <w:r w:rsidR="00777CB0">
        <w:rPr>
          <w:szCs w:val="26"/>
        </w:rPr>
        <w:t>Amendment</w:t>
      </w:r>
      <w:r>
        <w:rPr>
          <w:szCs w:val="26"/>
        </w:rPr>
        <w:t xml:space="preserve"> </w:t>
      </w:r>
      <w:r w:rsidR="0006584D">
        <w:rPr>
          <w:szCs w:val="26"/>
        </w:rPr>
        <w:t>P</w:t>
      </w:r>
      <w:r>
        <w:rPr>
          <w:szCs w:val="26"/>
        </w:rPr>
        <w:t>roject’s pipeline with other pipelines.</w:t>
      </w:r>
      <w:r w:rsidRPr="00291245">
        <w:rPr>
          <w:rStyle w:val="FootnoteReference"/>
        </w:rPr>
        <w:footnoteReference w:id="174"/>
      </w:r>
      <w:r>
        <w:rPr>
          <w:szCs w:val="26"/>
        </w:rPr>
        <w:t xml:space="preserve">  Collocation of proposed pipelines with existing or other proposed pipelines is common</w:t>
      </w:r>
      <w:r w:rsidR="00DB2354">
        <w:rPr>
          <w:szCs w:val="26"/>
        </w:rPr>
        <w:t>,</w:t>
      </w:r>
      <w:r w:rsidRPr="00291245">
        <w:rPr>
          <w:rStyle w:val="FootnoteReference"/>
        </w:rPr>
        <w:footnoteReference w:id="175"/>
      </w:r>
      <w:r>
        <w:rPr>
          <w:szCs w:val="26"/>
        </w:rPr>
        <w:t xml:space="preserve"> and generally decreases environmental impacts due to the minimization of new corridors.  Pipeline safety is discussed in section B.10 of the EA and section 4.12 of the </w:t>
      </w:r>
      <w:r w:rsidR="005221D8">
        <w:rPr>
          <w:szCs w:val="26"/>
        </w:rPr>
        <w:t>f</w:t>
      </w:r>
      <w:r w:rsidR="00B14575">
        <w:rPr>
          <w:szCs w:val="26"/>
        </w:rPr>
        <w:t xml:space="preserve">inal </w:t>
      </w:r>
      <w:r>
        <w:rPr>
          <w:szCs w:val="26"/>
        </w:rPr>
        <w:t>EIS</w:t>
      </w:r>
      <w:r w:rsidR="00B14575">
        <w:rPr>
          <w:szCs w:val="26"/>
        </w:rPr>
        <w:t>.</w:t>
      </w:r>
      <w:r w:rsidRPr="004B5EAF">
        <w:rPr>
          <w:b/>
          <w:bCs/>
          <w:vertAlign w:val="superscript"/>
        </w:rPr>
        <w:footnoteReference w:id="176"/>
      </w:r>
      <w:r>
        <w:rPr>
          <w:szCs w:val="26"/>
        </w:rPr>
        <w:t xml:space="preserve">  As noted in section A.4.2 of the EA, the proposed route was based on the </w:t>
      </w:r>
      <w:r w:rsidR="005221D8">
        <w:rPr>
          <w:szCs w:val="26"/>
        </w:rPr>
        <w:t>previously</w:t>
      </w:r>
      <w:r w:rsidR="00F60A0D">
        <w:rPr>
          <w:szCs w:val="26"/>
        </w:rPr>
        <w:t>-</w:t>
      </w:r>
      <w:r>
        <w:rPr>
          <w:szCs w:val="26"/>
        </w:rPr>
        <w:t>certificated project and modified in certain locations for engineering and environmental reasons.</w:t>
      </w:r>
      <w:r w:rsidRPr="00291245">
        <w:rPr>
          <w:rStyle w:val="FootnoteReference"/>
        </w:rPr>
        <w:footnoteReference w:id="177"/>
      </w:r>
    </w:p>
    <w:p w14:paraId="5339CAA9" w14:textId="1FD70894" w:rsidR="00586D12" w:rsidRPr="00113B90" w:rsidRDefault="00113B90" w:rsidP="00113B90">
      <w:pPr>
        <w:pStyle w:val="Heading4"/>
        <w:rPr>
          <w:rFonts w:eastAsiaTheme="minorHAnsi"/>
          <w:kern w:val="0"/>
        </w:rPr>
      </w:pPr>
      <w:r w:rsidRPr="00113B90">
        <w:rPr>
          <w:rFonts w:eastAsiaTheme="minorHAnsi"/>
          <w:kern w:val="0"/>
        </w:rPr>
        <w:t>Cumulative Effects</w:t>
      </w:r>
    </w:p>
    <w:p w14:paraId="778CA0C9" w14:textId="77777777" w:rsidR="00D267A9" w:rsidRPr="00D267A9" w:rsidRDefault="00D9101D" w:rsidP="00D9101D">
      <w:pPr>
        <w:pStyle w:val="FERCparanumber"/>
      </w:pPr>
      <w:r w:rsidRPr="002D03F8">
        <w:t>Several commenters state</w:t>
      </w:r>
      <w:r w:rsidR="005221D8">
        <w:t xml:space="preserve"> that</w:t>
      </w:r>
      <w:r w:rsidRPr="002D03F8">
        <w:t xml:space="preserve"> the EA does not contain a suitably thorough cumulative analysis of the </w:t>
      </w:r>
      <w:r w:rsidR="00777CB0">
        <w:rPr>
          <w:szCs w:val="26"/>
        </w:rPr>
        <w:t>Amendment</w:t>
      </w:r>
      <w:r w:rsidRPr="00543D48">
        <w:rPr>
          <w:szCs w:val="26"/>
        </w:rPr>
        <w:t xml:space="preserve"> Project</w:t>
      </w:r>
      <w:r w:rsidRPr="002D03F8">
        <w:t xml:space="preserve">, particularly as it relates to </w:t>
      </w:r>
      <w:r w:rsidR="005221D8">
        <w:t>Transco’s proposed</w:t>
      </w:r>
      <w:r w:rsidR="005221D8" w:rsidRPr="002D03F8">
        <w:t xml:space="preserve"> </w:t>
      </w:r>
      <w:r w:rsidRPr="00543D48">
        <w:rPr>
          <w:szCs w:val="26"/>
        </w:rPr>
        <w:t>Southeast Supply Enhancement Project</w:t>
      </w:r>
      <w:r w:rsidR="005221D8">
        <w:rPr>
          <w:szCs w:val="26"/>
        </w:rPr>
        <w:t>.</w:t>
      </w:r>
      <w:r w:rsidRPr="002D03F8">
        <w:rPr>
          <w:rStyle w:val="FootnoteReference"/>
          <w:szCs w:val="26"/>
        </w:rPr>
        <w:footnoteReference w:id="178"/>
      </w:r>
      <w:r w:rsidRPr="00543D48">
        <w:rPr>
          <w:szCs w:val="26"/>
        </w:rPr>
        <w:t xml:space="preserve"> </w:t>
      </w:r>
      <w:r w:rsidR="00DE39F2">
        <w:rPr>
          <w:szCs w:val="26"/>
        </w:rPr>
        <w:t xml:space="preserve"> </w:t>
      </w:r>
      <w:r w:rsidR="00F34F35">
        <w:rPr>
          <w:szCs w:val="26"/>
        </w:rPr>
        <w:t>The 7 Directions of Service expresses concern regarding the cumulative effects on wetlands and waterbodies, such as the Dan River and its tributaries, from simultaneous construction of the two projects.</w:t>
      </w:r>
      <w:r w:rsidR="00F34F35" w:rsidRPr="00470524">
        <w:rPr>
          <w:rStyle w:val="FootnoteReference"/>
          <w:szCs w:val="26"/>
        </w:rPr>
        <w:footnoteReference w:id="179"/>
      </w:r>
      <w:r w:rsidR="00F34F35">
        <w:rPr>
          <w:szCs w:val="26"/>
        </w:rPr>
        <w:t xml:space="preserve">  </w:t>
      </w:r>
      <w:r w:rsidRPr="00543D48">
        <w:rPr>
          <w:szCs w:val="26"/>
        </w:rPr>
        <w:t xml:space="preserve"> </w:t>
      </w:r>
      <w:r>
        <w:rPr>
          <w:szCs w:val="26"/>
        </w:rPr>
        <w:t>T</w:t>
      </w:r>
      <w:r w:rsidRPr="00543D48">
        <w:rPr>
          <w:szCs w:val="26"/>
        </w:rPr>
        <w:t xml:space="preserve">he EA provides an analysis of cumulative effects of the </w:t>
      </w:r>
      <w:r w:rsidR="00777CB0">
        <w:rPr>
          <w:szCs w:val="26"/>
        </w:rPr>
        <w:t>Amendment</w:t>
      </w:r>
      <w:r w:rsidRPr="00543D48">
        <w:rPr>
          <w:szCs w:val="26"/>
        </w:rPr>
        <w:t xml:space="preserve"> Project when </w:t>
      </w:r>
      <w:r w:rsidRPr="00543D48">
        <w:rPr>
          <w:szCs w:val="26"/>
        </w:rPr>
        <w:lastRenderedPageBreak/>
        <w:t>considered with other projects within the geographic scope</w:t>
      </w:r>
      <w:r w:rsidR="00EE0524">
        <w:rPr>
          <w:szCs w:val="26"/>
        </w:rPr>
        <w:t>, including the Southeast Supply Enhancement Project.</w:t>
      </w:r>
      <w:r w:rsidRPr="00291245">
        <w:rPr>
          <w:rStyle w:val="FootnoteReference"/>
        </w:rPr>
        <w:footnoteReference w:id="180"/>
      </w:r>
      <w:r w:rsidRPr="00543D48">
        <w:rPr>
          <w:szCs w:val="26"/>
        </w:rPr>
        <w:t xml:space="preserve">  As </w:t>
      </w:r>
      <w:r w:rsidR="00EE0524">
        <w:rPr>
          <w:szCs w:val="26"/>
        </w:rPr>
        <w:t>stated</w:t>
      </w:r>
      <w:r w:rsidR="00EE0524" w:rsidRPr="00543D48">
        <w:rPr>
          <w:szCs w:val="26"/>
        </w:rPr>
        <w:t xml:space="preserve"> </w:t>
      </w:r>
      <w:r w:rsidRPr="00543D48">
        <w:rPr>
          <w:szCs w:val="26"/>
        </w:rPr>
        <w:t xml:space="preserve">in the EA, the </w:t>
      </w:r>
      <w:r w:rsidR="00777CB0">
        <w:rPr>
          <w:szCs w:val="26"/>
        </w:rPr>
        <w:t>Amendment</w:t>
      </w:r>
      <w:r w:rsidRPr="00543D48">
        <w:rPr>
          <w:szCs w:val="26"/>
        </w:rPr>
        <w:t xml:space="preserve"> Project</w:t>
      </w:r>
      <w:r w:rsidR="00E74B02">
        <w:rPr>
          <w:szCs w:val="26"/>
        </w:rPr>
        <w:t xml:space="preserve"> and the Southeast Supply Enhancement Project</w:t>
      </w:r>
      <w:r w:rsidRPr="00543D48">
        <w:rPr>
          <w:szCs w:val="26"/>
        </w:rPr>
        <w:t>’s overlapping timeline of anticipated construction and shared and adjacent workspace</w:t>
      </w:r>
      <w:r w:rsidR="00E74B02">
        <w:rPr>
          <w:szCs w:val="26"/>
        </w:rPr>
        <w:t>s</w:t>
      </w:r>
      <w:r w:rsidRPr="00543D48">
        <w:rPr>
          <w:szCs w:val="26"/>
        </w:rPr>
        <w:t xml:space="preserve"> would have the highest potential for cumulative effects.</w:t>
      </w:r>
      <w:r w:rsidR="005A5095">
        <w:rPr>
          <w:rStyle w:val="FootnoteReference"/>
          <w:szCs w:val="26"/>
        </w:rPr>
        <w:footnoteReference w:id="181"/>
      </w:r>
      <w:r w:rsidRPr="00543D48">
        <w:rPr>
          <w:szCs w:val="26"/>
        </w:rPr>
        <w:t xml:space="preserve">  </w:t>
      </w:r>
    </w:p>
    <w:p w14:paraId="16E1915F" w14:textId="113D45A9" w:rsidR="00D9101D" w:rsidRPr="002D03F8" w:rsidRDefault="007E5102" w:rsidP="00D9101D">
      <w:pPr>
        <w:pStyle w:val="FERCparanumber"/>
      </w:pPr>
      <w:r>
        <w:rPr>
          <w:szCs w:val="26"/>
        </w:rPr>
        <w:t>Specifically, the EA found</w:t>
      </w:r>
      <w:r w:rsidR="004F4988">
        <w:rPr>
          <w:szCs w:val="26"/>
        </w:rPr>
        <w:t xml:space="preserve"> that Mountain Valley would </w:t>
      </w:r>
      <w:r w:rsidR="00F11123">
        <w:rPr>
          <w:szCs w:val="26"/>
        </w:rPr>
        <w:t xml:space="preserve">minimize effects on wetlands by implementing the construction mitigation measures outlined in its Procedures and by adhering to applicable permit requirements.  </w:t>
      </w:r>
      <w:r w:rsidR="001318E2">
        <w:rPr>
          <w:szCs w:val="26"/>
        </w:rPr>
        <w:t xml:space="preserve">Direct effects from construction projects involving clearing, grading, or excavation on sites larger than one acre would be required to obtain appropriate state NPDES stormwater construction permits, which would specify </w:t>
      </w:r>
      <w:r w:rsidR="00DD143D">
        <w:rPr>
          <w:szCs w:val="26"/>
        </w:rPr>
        <w:t>the types of erosion and sediment controls, BMPs, and conservation practices required.</w:t>
      </w:r>
      <w:r w:rsidR="00C13B89">
        <w:rPr>
          <w:rStyle w:val="FootnoteReference"/>
          <w:szCs w:val="26"/>
        </w:rPr>
        <w:footnoteReference w:id="182"/>
      </w:r>
      <w:r w:rsidR="003F6EB3">
        <w:rPr>
          <w:szCs w:val="26"/>
        </w:rPr>
        <w:t xml:space="preserve"> </w:t>
      </w:r>
      <w:r w:rsidR="00DD143D">
        <w:rPr>
          <w:szCs w:val="26"/>
        </w:rPr>
        <w:t xml:space="preserve"> </w:t>
      </w:r>
      <w:r w:rsidR="00D9101D" w:rsidRPr="00543D48">
        <w:rPr>
          <w:szCs w:val="26"/>
        </w:rPr>
        <w:t xml:space="preserve">The EA </w:t>
      </w:r>
      <w:r w:rsidR="00DD143D">
        <w:rPr>
          <w:szCs w:val="26"/>
        </w:rPr>
        <w:t xml:space="preserve">found that with appropriate BMPs in place, </w:t>
      </w:r>
      <w:r w:rsidR="002D224A">
        <w:rPr>
          <w:szCs w:val="26"/>
        </w:rPr>
        <w:t xml:space="preserve">effects on waterbodies and wetlands would be minimized, and </w:t>
      </w:r>
      <w:r w:rsidR="00D9101D" w:rsidRPr="00543D48">
        <w:rPr>
          <w:szCs w:val="26"/>
        </w:rPr>
        <w:t xml:space="preserve">concluded the </w:t>
      </w:r>
      <w:r w:rsidR="00777CB0">
        <w:rPr>
          <w:szCs w:val="26"/>
        </w:rPr>
        <w:t>Amendment</w:t>
      </w:r>
      <w:r w:rsidR="00D9101D" w:rsidRPr="00543D48">
        <w:rPr>
          <w:szCs w:val="26"/>
        </w:rPr>
        <w:t xml:space="preserve"> Project’s cumulative effects</w:t>
      </w:r>
      <w:r w:rsidR="00984137">
        <w:rPr>
          <w:szCs w:val="26"/>
        </w:rPr>
        <w:t>, including on wetlands and waterbodies,</w:t>
      </w:r>
      <w:r w:rsidR="00D9101D" w:rsidRPr="00543D48">
        <w:rPr>
          <w:szCs w:val="26"/>
        </w:rPr>
        <w:t xml:space="preserve"> when considered with other projects would be less than significant.</w:t>
      </w:r>
      <w:r w:rsidR="00D9101D" w:rsidRPr="002D03F8">
        <w:rPr>
          <w:rStyle w:val="FootnoteReference"/>
        </w:rPr>
        <w:footnoteReference w:id="183"/>
      </w:r>
      <w:r w:rsidR="00FD1244">
        <w:rPr>
          <w:szCs w:val="26"/>
        </w:rPr>
        <w:t xml:space="preserve">  We</w:t>
      </w:r>
      <w:r w:rsidR="001E26A0">
        <w:rPr>
          <w:szCs w:val="26"/>
        </w:rPr>
        <w:t xml:space="preserve"> </w:t>
      </w:r>
      <w:r w:rsidR="00D51110">
        <w:rPr>
          <w:szCs w:val="26"/>
        </w:rPr>
        <w:t xml:space="preserve">find </w:t>
      </w:r>
      <w:r w:rsidR="00983A67">
        <w:rPr>
          <w:szCs w:val="26"/>
        </w:rPr>
        <w:t>that the EA</w:t>
      </w:r>
      <w:r w:rsidR="005576E1">
        <w:rPr>
          <w:szCs w:val="26"/>
        </w:rPr>
        <w:t xml:space="preserve">’s cumulative analysis </w:t>
      </w:r>
      <w:r w:rsidR="00F947EE">
        <w:rPr>
          <w:szCs w:val="26"/>
        </w:rPr>
        <w:t>appropriately</w:t>
      </w:r>
      <w:r w:rsidR="00D16045">
        <w:rPr>
          <w:szCs w:val="26"/>
        </w:rPr>
        <w:t xml:space="preserve"> considered the project’s cumulative effects</w:t>
      </w:r>
      <w:r w:rsidR="00FD1244">
        <w:rPr>
          <w:szCs w:val="26"/>
        </w:rPr>
        <w:t>.</w:t>
      </w:r>
      <w:r w:rsidR="00D16045">
        <w:rPr>
          <w:rStyle w:val="FootnoteReference"/>
          <w:szCs w:val="26"/>
        </w:rPr>
        <w:footnoteReference w:id="184"/>
      </w:r>
    </w:p>
    <w:p w14:paraId="042C3156" w14:textId="77168040" w:rsidR="00D9101D" w:rsidRPr="005E1B44" w:rsidRDefault="005E1B44" w:rsidP="005E1B44">
      <w:pPr>
        <w:pStyle w:val="Heading4"/>
        <w:rPr>
          <w:rFonts w:eastAsiaTheme="minorHAnsi"/>
          <w:kern w:val="0"/>
        </w:rPr>
      </w:pPr>
      <w:r w:rsidRPr="005E1B44">
        <w:rPr>
          <w:rFonts w:eastAsiaTheme="minorHAnsi"/>
          <w:kern w:val="0"/>
        </w:rPr>
        <w:t>Climate Change</w:t>
      </w:r>
    </w:p>
    <w:p w14:paraId="2AD53211" w14:textId="5FABD0EA" w:rsidR="002300FD" w:rsidRPr="008D1AAD" w:rsidRDefault="002300FD" w:rsidP="002300FD">
      <w:pPr>
        <w:pStyle w:val="FERCparanumber"/>
        <w:rPr>
          <w:szCs w:val="24"/>
        </w:rPr>
      </w:pPr>
      <w:r>
        <w:rPr>
          <w:szCs w:val="26"/>
        </w:rPr>
        <w:t xml:space="preserve">Several commenters express concern regarding the contribution of the </w:t>
      </w:r>
      <w:r w:rsidR="00777CB0">
        <w:rPr>
          <w:szCs w:val="26"/>
        </w:rPr>
        <w:t>Amendment</w:t>
      </w:r>
      <w:r>
        <w:rPr>
          <w:szCs w:val="26"/>
        </w:rPr>
        <w:t xml:space="preserve"> Project to global climate change</w:t>
      </w:r>
      <w:r w:rsidR="00354813">
        <w:rPr>
          <w:szCs w:val="26"/>
        </w:rPr>
        <w:t>.</w:t>
      </w:r>
      <w:r>
        <w:rPr>
          <w:rStyle w:val="FootnoteReference"/>
          <w:szCs w:val="26"/>
        </w:rPr>
        <w:footnoteReference w:id="185"/>
      </w:r>
      <w:r>
        <w:rPr>
          <w:szCs w:val="26"/>
        </w:rPr>
        <w:t xml:space="preserve"> </w:t>
      </w:r>
      <w:r w:rsidR="008C79A2">
        <w:rPr>
          <w:szCs w:val="26"/>
        </w:rPr>
        <w:t xml:space="preserve"> </w:t>
      </w:r>
      <w:r w:rsidRPr="00D9777C">
        <w:rPr>
          <w:szCs w:val="26"/>
        </w:rPr>
        <w:t xml:space="preserve">Appalachian Voices </w:t>
      </w:r>
      <w:r>
        <w:rPr>
          <w:szCs w:val="26"/>
        </w:rPr>
        <w:t>contends</w:t>
      </w:r>
      <w:r w:rsidRPr="00D9777C">
        <w:rPr>
          <w:szCs w:val="26"/>
        </w:rPr>
        <w:t xml:space="preserve"> </w:t>
      </w:r>
      <w:r w:rsidR="003D157B">
        <w:rPr>
          <w:szCs w:val="26"/>
        </w:rPr>
        <w:t xml:space="preserve">that </w:t>
      </w:r>
      <w:r>
        <w:rPr>
          <w:szCs w:val="26"/>
        </w:rPr>
        <w:t xml:space="preserve">the EA </w:t>
      </w:r>
      <w:r w:rsidRPr="00D9777C">
        <w:rPr>
          <w:szCs w:val="26"/>
        </w:rPr>
        <w:t xml:space="preserve">did not adequately </w:t>
      </w:r>
      <w:r>
        <w:rPr>
          <w:szCs w:val="26"/>
        </w:rPr>
        <w:t>assess</w:t>
      </w:r>
      <w:r w:rsidRPr="00D9777C">
        <w:rPr>
          <w:szCs w:val="26"/>
        </w:rPr>
        <w:t xml:space="preserve"> air pollution, </w:t>
      </w:r>
      <w:r>
        <w:rPr>
          <w:szCs w:val="26"/>
        </w:rPr>
        <w:t xml:space="preserve">GHG </w:t>
      </w:r>
      <w:r w:rsidRPr="00D9777C">
        <w:rPr>
          <w:szCs w:val="26"/>
        </w:rPr>
        <w:t>emissions, and climate change.</w:t>
      </w:r>
      <w:r>
        <w:rPr>
          <w:rStyle w:val="FootnoteReference"/>
          <w:szCs w:val="26"/>
        </w:rPr>
        <w:footnoteReference w:id="186"/>
      </w:r>
      <w:r>
        <w:rPr>
          <w:szCs w:val="26"/>
        </w:rPr>
        <w:t xml:space="preserve">  Specifically, Appalachian Voices argue</w:t>
      </w:r>
      <w:r w:rsidR="00354813">
        <w:rPr>
          <w:szCs w:val="26"/>
        </w:rPr>
        <w:t>s</w:t>
      </w:r>
      <w:r>
        <w:rPr>
          <w:szCs w:val="26"/>
        </w:rPr>
        <w:t xml:space="preserve"> that </w:t>
      </w:r>
      <w:r w:rsidR="00354813">
        <w:rPr>
          <w:szCs w:val="26"/>
        </w:rPr>
        <w:t>the</w:t>
      </w:r>
      <w:r>
        <w:rPr>
          <w:szCs w:val="26"/>
        </w:rPr>
        <w:t xml:space="preserve"> GHG analysis should have considered the full 550,000 Dth/d </w:t>
      </w:r>
      <w:r w:rsidR="00C6179A">
        <w:rPr>
          <w:szCs w:val="26"/>
        </w:rPr>
        <w:t xml:space="preserve">associated with </w:t>
      </w:r>
      <w:r>
        <w:rPr>
          <w:szCs w:val="26"/>
        </w:rPr>
        <w:t xml:space="preserve">the </w:t>
      </w:r>
      <w:r w:rsidR="00777CB0">
        <w:rPr>
          <w:szCs w:val="26"/>
        </w:rPr>
        <w:t>Amendment</w:t>
      </w:r>
      <w:r>
        <w:rPr>
          <w:szCs w:val="26"/>
        </w:rPr>
        <w:t xml:space="preserve"> Project instead of </w:t>
      </w:r>
      <w:r w:rsidR="00C6179A">
        <w:rPr>
          <w:szCs w:val="26"/>
        </w:rPr>
        <w:t xml:space="preserve">the </w:t>
      </w:r>
      <w:r>
        <w:rPr>
          <w:szCs w:val="26"/>
        </w:rPr>
        <w:t xml:space="preserve">additional </w:t>
      </w:r>
      <w:r>
        <w:rPr>
          <w:szCs w:val="26"/>
        </w:rPr>
        <w:lastRenderedPageBreak/>
        <w:t>250,000 Dth/d assessed in the EA.</w:t>
      </w:r>
      <w:r w:rsidRPr="00BE0E7E">
        <w:rPr>
          <w:rStyle w:val="FootnoteReference"/>
        </w:rPr>
        <w:footnoteReference w:id="187"/>
      </w:r>
      <w:r>
        <w:rPr>
          <w:szCs w:val="26"/>
        </w:rPr>
        <w:t xml:space="preserve">  We disagree.  </w:t>
      </w:r>
      <w:r w:rsidRPr="00291245">
        <w:rPr>
          <w:szCs w:val="26"/>
        </w:rPr>
        <w:t xml:space="preserve"> </w:t>
      </w:r>
      <w:r w:rsidR="00D957D5">
        <w:rPr>
          <w:szCs w:val="26"/>
        </w:rPr>
        <w:t>T</w:t>
      </w:r>
      <w:r w:rsidRPr="00291245">
        <w:rPr>
          <w:szCs w:val="26"/>
        </w:rPr>
        <w:t xml:space="preserve">he </w:t>
      </w:r>
      <w:r w:rsidR="004B5EAF">
        <w:rPr>
          <w:szCs w:val="26"/>
        </w:rPr>
        <w:t>f</w:t>
      </w:r>
      <w:r w:rsidR="00E74CD2">
        <w:rPr>
          <w:szCs w:val="26"/>
        </w:rPr>
        <w:t xml:space="preserve">inal </w:t>
      </w:r>
      <w:r w:rsidRPr="00291245">
        <w:rPr>
          <w:szCs w:val="26"/>
        </w:rPr>
        <w:t xml:space="preserve">EIS for the certificated </w:t>
      </w:r>
      <w:r>
        <w:rPr>
          <w:szCs w:val="26"/>
        </w:rPr>
        <w:t>Southgate P</w:t>
      </w:r>
      <w:r w:rsidRPr="00291245">
        <w:rPr>
          <w:szCs w:val="26"/>
        </w:rPr>
        <w:t xml:space="preserve">roject assessed the </w:t>
      </w:r>
      <w:r w:rsidR="007270E3">
        <w:rPr>
          <w:szCs w:val="26"/>
        </w:rPr>
        <w:t xml:space="preserve">indirect </w:t>
      </w:r>
      <w:r w:rsidRPr="00291245">
        <w:rPr>
          <w:szCs w:val="26"/>
        </w:rPr>
        <w:t xml:space="preserve">effects </w:t>
      </w:r>
      <w:r w:rsidR="00BA3DDE">
        <w:rPr>
          <w:szCs w:val="26"/>
        </w:rPr>
        <w:t xml:space="preserve">from the downstream combustion </w:t>
      </w:r>
      <w:r w:rsidRPr="00291245">
        <w:rPr>
          <w:szCs w:val="26"/>
        </w:rPr>
        <w:t>of 300,000 Dth/d of subscribed capacity.</w:t>
      </w:r>
      <w:r w:rsidRPr="00BE0E7E">
        <w:rPr>
          <w:rStyle w:val="FootnoteReference"/>
        </w:rPr>
        <w:footnoteReference w:id="188"/>
      </w:r>
      <w:r w:rsidR="006C6F2B">
        <w:rPr>
          <w:szCs w:val="26"/>
        </w:rPr>
        <w:t xml:space="preserve">  </w:t>
      </w:r>
      <w:r w:rsidR="00240D79" w:rsidRPr="00240D79">
        <w:rPr>
          <w:szCs w:val="26"/>
        </w:rPr>
        <w:t>“NEPA leaves ‘substantial discretion to an agency to determine how best to gather and assess information’ about a project’s environmental impacts[;]”</w:t>
      </w:r>
      <w:r w:rsidR="00240D79" w:rsidRPr="00240D79">
        <w:rPr>
          <w:b/>
          <w:szCs w:val="26"/>
          <w:vertAlign w:val="superscript"/>
        </w:rPr>
        <w:footnoteReference w:id="189"/>
      </w:r>
      <w:r w:rsidR="00240D79" w:rsidRPr="00240D79">
        <w:rPr>
          <w:szCs w:val="26"/>
        </w:rPr>
        <w:t xml:space="preserve"> agencies are “better equipped to assess what facts are relevant to [their] own decision.”</w:t>
      </w:r>
      <w:r w:rsidR="00240D79" w:rsidRPr="00240D79">
        <w:rPr>
          <w:b/>
          <w:szCs w:val="26"/>
          <w:vertAlign w:val="superscript"/>
        </w:rPr>
        <w:footnoteReference w:id="190"/>
      </w:r>
      <w:r w:rsidR="00240D79" w:rsidRPr="00240D79">
        <w:rPr>
          <w:szCs w:val="26"/>
        </w:rPr>
        <w:t xml:space="preserve">  Accordingly, we have fulfilled our obligation under NEPA to consider and disclose the environmental impacts of the Amendment Project, which is relatively limited in scope, and the EA appropriately analyzed only impacts </w:t>
      </w:r>
      <w:r w:rsidR="00392A0D">
        <w:rPr>
          <w:szCs w:val="26"/>
        </w:rPr>
        <w:t>that differed from</w:t>
      </w:r>
      <w:r w:rsidR="00240D79" w:rsidRPr="00240D79">
        <w:rPr>
          <w:szCs w:val="26"/>
        </w:rPr>
        <w:t xml:space="preserve"> those already assessed in the final EIS.</w:t>
      </w:r>
    </w:p>
    <w:p w14:paraId="359659F9" w14:textId="26D5210C" w:rsidR="00BB5B43" w:rsidRPr="00D56BF7" w:rsidRDefault="00BB5B43" w:rsidP="00424AA2">
      <w:pPr>
        <w:pStyle w:val="FERCparanumber"/>
      </w:pPr>
      <w:r>
        <w:t>Our Children’s Trust argues generally that the project will enable fossil fuel air pollution, threatening children’s health and welfare.</w:t>
      </w:r>
      <w:r>
        <w:rPr>
          <w:rStyle w:val="FootnoteReference"/>
          <w:rFonts w:eastAsia="Times New Roman"/>
          <w:bCs/>
          <w:szCs w:val="26"/>
        </w:rPr>
        <w:footnoteReference w:id="191"/>
      </w:r>
      <w:r>
        <w:t xml:space="preserve">  Our Children’s Trust’s comments raise general concerns about fossil fuel use, but do not raise any issues specific to the </w:t>
      </w:r>
      <w:r w:rsidR="00777CB0">
        <w:t>Amendment</w:t>
      </w:r>
      <w:r w:rsidR="0010344D">
        <w:t xml:space="preserve"> Project</w:t>
      </w:r>
      <w:r>
        <w:t xml:space="preserve">.  Accordingly, we find that Our Children’s Trust’s comments provide no information about the project at hand and are beyond the limited scope of this proceeding.  </w:t>
      </w:r>
      <w:r w:rsidR="0035087F" w:rsidRPr="0035087F">
        <w:t>In any event, we note that that the combined operational emissions for the Amendment Project would result in a reduction in emissions.</w:t>
      </w:r>
      <w:r w:rsidR="006F2EB7">
        <w:rPr>
          <w:rStyle w:val="FootnoteReference"/>
        </w:rPr>
        <w:footnoteReference w:id="192"/>
      </w:r>
      <w:r w:rsidR="0035087F" w:rsidRPr="0035087F">
        <w:t xml:space="preserve">  </w:t>
      </w:r>
    </w:p>
    <w:p w14:paraId="57B01DE4" w14:textId="3453D6A5" w:rsidR="00D9101D" w:rsidRPr="00685BAB" w:rsidRDefault="00685BAB" w:rsidP="00685BAB">
      <w:pPr>
        <w:pStyle w:val="Heading4"/>
        <w:rPr>
          <w:rFonts w:eastAsiaTheme="minorHAnsi"/>
          <w:kern w:val="0"/>
        </w:rPr>
      </w:pPr>
      <w:r>
        <w:rPr>
          <w:rFonts w:eastAsiaTheme="minorHAnsi"/>
          <w:kern w:val="0"/>
        </w:rPr>
        <w:t>Alternatives</w:t>
      </w:r>
    </w:p>
    <w:p w14:paraId="494D85A4" w14:textId="5D7A8E54" w:rsidR="009459D3" w:rsidRDefault="00426F42" w:rsidP="009459D3">
      <w:pPr>
        <w:pStyle w:val="FERCparanumber"/>
      </w:pPr>
      <w:r>
        <w:rPr>
          <w:szCs w:val="26"/>
        </w:rPr>
        <w:t>Appalachian Mountain Advocates comment</w:t>
      </w:r>
      <w:r w:rsidR="00FD05BC">
        <w:rPr>
          <w:szCs w:val="26"/>
        </w:rPr>
        <w:t>s</w:t>
      </w:r>
      <w:r>
        <w:rPr>
          <w:szCs w:val="26"/>
        </w:rPr>
        <w:t xml:space="preserve"> that </w:t>
      </w:r>
      <w:r w:rsidR="00FD05BC">
        <w:rPr>
          <w:szCs w:val="26"/>
        </w:rPr>
        <w:t xml:space="preserve">the </w:t>
      </w:r>
      <w:r>
        <w:rPr>
          <w:szCs w:val="26"/>
        </w:rPr>
        <w:t xml:space="preserve">EA’s stated purpose and need for the </w:t>
      </w:r>
      <w:r w:rsidR="00777CB0">
        <w:rPr>
          <w:szCs w:val="26"/>
        </w:rPr>
        <w:t>Amendment</w:t>
      </w:r>
      <w:r>
        <w:rPr>
          <w:szCs w:val="26"/>
        </w:rPr>
        <w:t xml:space="preserve"> Project</w:t>
      </w:r>
      <w:r w:rsidRPr="00D9777C">
        <w:rPr>
          <w:szCs w:val="26"/>
        </w:rPr>
        <w:t xml:space="preserve"> purpose was too narrow</w:t>
      </w:r>
      <w:r>
        <w:rPr>
          <w:szCs w:val="26"/>
        </w:rPr>
        <w:t xml:space="preserve"> and thus impermissibly </w:t>
      </w:r>
      <w:r w:rsidR="0010035C">
        <w:rPr>
          <w:szCs w:val="26"/>
        </w:rPr>
        <w:lastRenderedPageBreak/>
        <w:t xml:space="preserve">excluded reasonable alternatives.  </w:t>
      </w:r>
      <w:r w:rsidR="009B0935">
        <w:rPr>
          <w:szCs w:val="26"/>
        </w:rPr>
        <w:t xml:space="preserve">Appalachian Mountain Advocates also argues that the Commission must consider </w:t>
      </w:r>
      <w:r w:rsidR="006D0778" w:rsidRPr="006D0778">
        <w:rPr>
          <w:szCs w:val="26"/>
        </w:rPr>
        <w:t xml:space="preserve">whether the </w:t>
      </w:r>
      <w:r w:rsidR="00A31FF6">
        <w:rPr>
          <w:szCs w:val="26"/>
        </w:rPr>
        <w:t>p</w:t>
      </w:r>
      <w:r w:rsidR="006D0778" w:rsidRPr="006D0778">
        <w:rPr>
          <w:szCs w:val="26"/>
        </w:rPr>
        <w:t>roject is in the public convenience</w:t>
      </w:r>
      <w:r w:rsidR="006D0778">
        <w:rPr>
          <w:szCs w:val="26"/>
        </w:rPr>
        <w:t xml:space="preserve"> </w:t>
      </w:r>
      <w:r w:rsidR="008225DB">
        <w:rPr>
          <w:szCs w:val="26"/>
        </w:rPr>
        <w:t xml:space="preserve">and necessity </w:t>
      </w:r>
      <w:r w:rsidR="006D0778">
        <w:rPr>
          <w:szCs w:val="26"/>
        </w:rPr>
        <w:t xml:space="preserve">in light of the </w:t>
      </w:r>
      <w:r w:rsidR="00A3011C">
        <w:rPr>
          <w:szCs w:val="26"/>
        </w:rPr>
        <w:t xml:space="preserve">environmental gains associated with the </w:t>
      </w:r>
      <w:r w:rsidR="006D0778">
        <w:rPr>
          <w:szCs w:val="26"/>
        </w:rPr>
        <w:t>Transco System Alternative.</w:t>
      </w:r>
      <w:r w:rsidR="006D0778">
        <w:rPr>
          <w:rStyle w:val="FootnoteReference"/>
          <w:szCs w:val="26"/>
        </w:rPr>
        <w:footnoteReference w:id="193"/>
      </w:r>
      <w:r w:rsidR="006D0778">
        <w:rPr>
          <w:szCs w:val="26"/>
        </w:rPr>
        <w:t xml:space="preserve">  </w:t>
      </w:r>
      <w:r w:rsidR="009459D3">
        <w:t xml:space="preserve">Other </w:t>
      </w:r>
      <w:r w:rsidR="00FE4FF1">
        <w:t>commenters</w:t>
      </w:r>
      <w:r w:rsidR="00FE4FF1" w:rsidRPr="00C746C3">
        <w:t xml:space="preserve"> state the EA failed to consider a reasonable range of alternatives</w:t>
      </w:r>
      <w:r w:rsidR="00FE4FF1">
        <w:t xml:space="preserve"> and request</w:t>
      </w:r>
      <w:r w:rsidR="009459D3">
        <w:t xml:space="preserve"> that</w:t>
      </w:r>
      <w:r w:rsidR="00FE4FF1">
        <w:t xml:space="preserve"> the Commission conduct a thorough analysis of the No-Action Alternative.</w:t>
      </w:r>
      <w:r w:rsidR="00FE4FF1">
        <w:rPr>
          <w:rStyle w:val="FootnoteReference"/>
        </w:rPr>
        <w:footnoteReference w:id="194"/>
      </w:r>
      <w:r w:rsidR="00FE4FF1">
        <w:t xml:space="preserve">  </w:t>
      </w:r>
    </w:p>
    <w:p w14:paraId="298D94A0" w14:textId="7E871AFD" w:rsidR="003A7597" w:rsidRDefault="003A7597" w:rsidP="009459D3">
      <w:pPr>
        <w:pStyle w:val="FERCparanumber"/>
      </w:pPr>
      <w:r w:rsidRPr="00F012E9">
        <w:t xml:space="preserve">Mountain Valley disputes </w:t>
      </w:r>
      <w:r>
        <w:t xml:space="preserve">Commission </w:t>
      </w:r>
      <w:r w:rsidRPr="00F012E9">
        <w:t>staff’s conclusion</w:t>
      </w:r>
      <w:r>
        <w:t xml:space="preserve"> in the EA</w:t>
      </w:r>
      <w:r w:rsidRPr="00F012E9">
        <w:t xml:space="preserve"> that a</w:t>
      </w:r>
      <w:r>
        <w:t xml:space="preserve"> Transco System Alternative, whereby Transco would modify its proposed Southeast Supply Enhancement Project to also accommodate the Amendment Project’s capacity,</w:t>
      </w:r>
      <w:r w:rsidRPr="00F012E9">
        <w:t xml:space="preserve"> would provide a</w:t>
      </w:r>
      <w:r>
        <w:t>n</w:t>
      </w:r>
      <w:r w:rsidRPr="00F012E9">
        <w:t xml:space="preserve"> environmental advantage over t</w:t>
      </w:r>
      <w:r>
        <w:t>he Amendment Project, as a single pipeline instead of two separate and similar pipelines would significantly reduce environmental impacts</w:t>
      </w:r>
      <w:r w:rsidRPr="00F012E9">
        <w:t>.</w:t>
      </w:r>
      <w:r w:rsidRPr="00291245">
        <w:rPr>
          <w:rStyle w:val="FootnoteReference"/>
        </w:rPr>
        <w:footnoteReference w:id="195"/>
      </w:r>
      <w:r w:rsidRPr="00F012E9">
        <w:t xml:space="preserve">  </w:t>
      </w:r>
      <w:r>
        <w:t xml:space="preserve">Mountain Valley alleges that the EA ignores </w:t>
      </w:r>
      <w:r w:rsidRPr="00F012E9">
        <w:t>that Mountain Valley already possesses a valid certificate for the Southgate Project</w:t>
      </w:r>
      <w:r>
        <w:t>.</w:t>
      </w:r>
      <w:r w:rsidRPr="00291245">
        <w:rPr>
          <w:rStyle w:val="FootnoteReference"/>
        </w:rPr>
        <w:footnoteReference w:id="196"/>
      </w:r>
      <w:r w:rsidRPr="00F012E9">
        <w:t xml:space="preserve">  </w:t>
      </w:r>
    </w:p>
    <w:p w14:paraId="1F554D80" w14:textId="24BE9E99" w:rsidR="001C1D66" w:rsidRPr="001C1D66" w:rsidRDefault="00511008" w:rsidP="009459D3">
      <w:pPr>
        <w:pStyle w:val="FERCparanumber"/>
      </w:pPr>
      <w:r w:rsidRPr="00511008">
        <w:rPr>
          <w:szCs w:val="26"/>
        </w:rPr>
        <w:t>NEPA provides that agencies include “a detailed statement” of “a reasonable range of alternatives to the proposed agency action, including an analysis of any negative environmental impacts of not implementing the proposed agency action in the case of a no-action alternative, that are technically and economically feasible, and meet the </w:t>
      </w:r>
      <w:r w:rsidRPr="00CA1399">
        <w:rPr>
          <w:szCs w:val="26"/>
        </w:rPr>
        <w:t>purpose</w:t>
      </w:r>
      <w:r w:rsidRPr="00C70121">
        <w:rPr>
          <w:szCs w:val="26"/>
        </w:rPr>
        <w:t> </w:t>
      </w:r>
      <w:r w:rsidRPr="00CA1399">
        <w:rPr>
          <w:szCs w:val="26"/>
        </w:rPr>
        <w:t>and</w:t>
      </w:r>
      <w:r w:rsidRPr="00C70121">
        <w:rPr>
          <w:szCs w:val="26"/>
        </w:rPr>
        <w:t> </w:t>
      </w:r>
      <w:r w:rsidRPr="00CA1399">
        <w:rPr>
          <w:szCs w:val="26"/>
        </w:rPr>
        <w:t>need</w:t>
      </w:r>
      <w:r w:rsidRPr="00C70121">
        <w:rPr>
          <w:szCs w:val="26"/>
        </w:rPr>
        <w:t> of</w:t>
      </w:r>
      <w:r w:rsidRPr="00511008">
        <w:rPr>
          <w:szCs w:val="26"/>
        </w:rPr>
        <w:t xml:space="preserve"> the proposal</w:t>
      </w:r>
      <w:r>
        <w:rPr>
          <w:szCs w:val="26"/>
        </w:rPr>
        <w:t>.</w:t>
      </w:r>
      <w:r w:rsidR="00C70121">
        <w:rPr>
          <w:rStyle w:val="FootnoteReference"/>
          <w:szCs w:val="26"/>
        </w:rPr>
        <w:footnoteReference w:id="197"/>
      </w:r>
      <w:r>
        <w:rPr>
          <w:szCs w:val="26"/>
        </w:rPr>
        <w:t xml:space="preserve">  </w:t>
      </w:r>
      <w:r w:rsidRPr="00511008">
        <w:rPr>
          <w:szCs w:val="26"/>
        </w:rPr>
        <w:t>An agency uses the </w:t>
      </w:r>
      <w:r w:rsidRPr="00CA1399">
        <w:rPr>
          <w:szCs w:val="26"/>
        </w:rPr>
        <w:t>purpose</w:t>
      </w:r>
      <w:r w:rsidRPr="00C70121">
        <w:rPr>
          <w:szCs w:val="26"/>
        </w:rPr>
        <w:t> </w:t>
      </w:r>
      <w:r w:rsidRPr="00CA1399">
        <w:rPr>
          <w:szCs w:val="26"/>
        </w:rPr>
        <w:t>and</w:t>
      </w:r>
      <w:r w:rsidRPr="00C70121">
        <w:rPr>
          <w:szCs w:val="26"/>
        </w:rPr>
        <w:t> </w:t>
      </w:r>
      <w:r w:rsidRPr="00CA1399">
        <w:rPr>
          <w:szCs w:val="26"/>
        </w:rPr>
        <w:t>need</w:t>
      </w:r>
      <w:r w:rsidRPr="00C70121">
        <w:rPr>
          <w:szCs w:val="26"/>
        </w:rPr>
        <w:t> </w:t>
      </w:r>
      <w:r w:rsidRPr="00511008">
        <w:rPr>
          <w:szCs w:val="26"/>
        </w:rPr>
        <w:t xml:space="preserve">statement to define the objectives of a proposed action and then to identify and consider reasonable alternatives. </w:t>
      </w:r>
      <w:r>
        <w:rPr>
          <w:szCs w:val="26"/>
        </w:rPr>
        <w:t xml:space="preserve"> </w:t>
      </w:r>
      <w:r w:rsidRPr="00511008">
        <w:rPr>
          <w:szCs w:val="26"/>
        </w:rPr>
        <w:t>When an agency is asked to consider a specific proposal, the needs and goals of the applicant should be taken into account.</w:t>
      </w:r>
      <w:r w:rsidR="00C70121">
        <w:rPr>
          <w:rStyle w:val="FootnoteReference"/>
          <w:szCs w:val="26"/>
        </w:rPr>
        <w:footnoteReference w:id="198"/>
      </w:r>
      <w:r w:rsidRPr="00511008">
        <w:rPr>
          <w:szCs w:val="26"/>
        </w:rPr>
        <w:t xml:space="preserve"> </w:t>
      </w:r>
      <w:r w:rsidR="00C70121">
        <w:rPr>
          <w:szCs w:val="26"/>
        </w:rPr>
        <w:t xml:space="preserve"> </w:t>
      </w:r>
      <w:r w:rsidR="00C70121" w:rsidRPr="00C70121">
        <w:rPr>
          <w:szCs w:val="26"/>
        </w:rPr>
        <w:t>Where, as here, a federal agency is not the sponsor of a project, “the Federal government</w:t>
      </w:r>
      <w:r w:rsidR="00116CF6">
        <w:rPr>
          <w:szCs w:val="26"/>
        </w:rPr>
        <w:t>’</w:t>
      </w:r>
      <w:r w:rsidR="00C70121" w:rsidRPr="00C70121">
        <w:rPr>
          <w:szCs w:val="26"/>
        </w:rPr>
        <w:t>s consideration of alternatives may accord substantial weight to the preferences of the applicant and/or sponsor in the siting and design of the project.”</w:t>
      </w:r>
      <w:r w:rsidR="00C70121">
        <w:rPr>
          <w:rStyle w:val="FootnoteReference"/>
          <w:szCs w:val="26"/>
        </w:rPr>
        <w:footnoteReference w:id="199"/>
      </w:r>
      <w:r w:rsidR="00C70121" w:rsidRPr="00C70121">
        <w:rPr>
          <w:szCs w:val="26"/>
        </w:rPr>
        <w:t xml:space="preserve"> </w:t>
      </w:r>
    </w:p>
    <w:p w14:paraId="043B0369" w14:textId="1752562F" w:rsidR="00FE4FF1" w:rsidRDefault="00FE4FF1" w:rsidP="009459D3">
      <w:pPr>
        <w:pStyle w:val="FERCparanumber"/>
      </w:pPr>
      <w:r w:rsidRPr="009459D3">
        <w:rPr>
          <w:szCs w:val="26"/>
        </w:rPr>
        <w:lastRenderedPageBreak/>
        <w:t xml:space="preserve">The EA included an assessment of the </w:t>
      </w:r>
      <w:r>
        <w:t>No-Action Alternativ</w:t>
      </w:r>
      <w:r w:rsidRPr="009459D3">
        <w:rPr>
          <w:szCs w:val="26"/>
        </w:rPr>
        <w:t xml:space="preserve">e and </w:t>
      </w:r>
      <w:r w:rsidR="002A6B75">
        <w:rPr>
          <w:szCs w:val="26"/>
        </w:rPr>
        <w:t>the Transco System A</w:t>
      </w:r>
      <w:r w:rsidRPr="009459D3">
        <w:rPr>
          <w:szCs w:val="26"/>
        </w:rPr>
        <w:t>lternative.</w:t>
      </w:r>
      <w:r w:rsidR="00F47914">
        <w:rPr>
          <w:rStyle w:val="FootnoteReference"/>
          <w:szCs w:val="26"/>
        </w:rPr>
        <w:footnoteReference w:id="200"/>
      </w:r>
      <w:r w:rsidRPr="009459D3">
        <w:rPr>
          <w:szCs w:val="26"/>
        </w:rPr>
        <w:t xml:space="preserve">  The EA did not consider route alternatives because neither stakeholders nor staff identified any that would be reasonable and preferrable to the proposed action while meeting the project objective.</w:t>
      </w:r>
      <w:r>
        <w:rPr>
          <w:rStyle w:val="FootnoteReference"/>
          <w:szCs w:val="26"/>
        </w:rPr>
        <w:footnoteReference w:id="201"/>
      </w:r>
      <w:r w:rsidRPr="009459D3">
        <w:rPr>
          <w:szCs w:val="26"/>
        </w:rPr>
        <w:t xml:space="preserve">  Under the </w:t>
      </w:r>
      <w:r>
        <w:t>No-Action Alternative, a</w:t>
      </w:r>
      <w:r w:rsidRPr="009459D3">
        <w:rPr>
          <w:szCs w:val="26"/>
        </w:rPr>
        <w:t xml:space="preserve">lthough none of the impacts associated with the </w:t>
      </w:r>
      <w:r w:rsidR="00777CB0">
        <w:rPr>
          <w:szCs w:val="26"/>
        </w:rPr>
        <w:t>Amendment</w:t>
      </w:r>
      <w:r w:rsidRPr="009459D3">
        <w:rPr>
          <w:szCs w:val="26"/>
        </w:rPr>
        <w:t xml:space="preserve"> Project would occur, the </w:t>
      </w:r>
      <w:r w:rsidR="00777CB0">
        <w:rPr>
          <w:szCs w:val="26"/>
        </w:rPr>
        <w:t>Amendment</w:t>
      </w:r>
      <w:r w:rsidRPr="009459D3">
        <w:rPr>
          <w:szCs w:val="26"/>
        </w:rPr>
        <w:t xml:space="preserve"> Project objectives would not be met.  However, the certificated Southgate Project, as described in the </w:t>
      </w:r>
      <w:r w:rsidR="004B5EAF" w:rsidRPr="009459D3">
        <w:rPr>
          <w:szCs w:val="26"/>
        </w:rPr>
        <w:t>f</w:t>
      </w:r>
      <w:r w:rsidR="00D150A4" w:rsidRPr="009459D3">
        <w:rPr>
          <w:szCs w:val="26"/>
        </w:rPr>
        <w:t xml:space="preserve">inal </w:t>
      </w:r>
      <w:r w:rsidRPr="009459D3">
        <w:rPr>
          <w:szCs w:val="26"/>
        </w:rPr>
        <w:t xml:space="preserve">EIS, would remain authorized and Mountain Valley could choose to proceed </w:t>
      </w:r>
      <w:r w:rsidR="003E3B97">
        <w:rPr>
          <w:szCs w:val="26"/>
        </w:rPr>
        <w:t xml:space="preserve">with that </w:t>
      </w:r>
      <w:r w:rsidR="006026FB">
        <w:rPr>
          <w:szCs w:val="26"/>
        </w:rPr>
        <w:t>version of the project</w:t>
      </w:r>
      <w:r w:rsidRPr="009459D3">
        <w:rPr>
          <w:szCs w:val="26"/>
        </w:rPr>
        <w:t xml:space="preserve">. </w:t>
      </w:r>
      <w:r>
        <w:t xml:space="preserve"> </w:t>
      </w:r>
      <w:r w:rsidR="0044113D">
        <w:t xml:space="preserve">Regarding the system alternative, </w:t>
      </w:r>
      <w:r w:rsidR="00E16CFB">
        <w:t xml:space="preserve">the EA finds that the Amendment Project would result in fewer environmental </w:t>
      </w:r>
      <w:r w:rsidR="00E16CFB" w:rsidRPr="00F012E9">
        <w:t xml:space="preserve">impacts than the </w:t>
      </w:r>
      <w:r w:rsidR="00E16CFB">
        <w:t xml:space="preserve">originally </w:t>
      </w:r>
      <w:r w:rsidR="00E16CFB" w:rsidRPr="00F012E9">
        <w:t>certificated project</w:t>
      </w:r>
      <w:r w:rsidR="00E16CFB">
        <w:t>,</w:t>
      </w:r>
      <w:r w:rsidR="00E16CFB" w:rsidRPr="00291245">
        <w:rPr>
          <w:rStyle w:val="FootnoteReference"/>
        </w:rPr>
        <w:footnoteReference w:id="202"/>
      </w:r>
      <w:r w:rsidR="00E16CFB">
        <w:t xml:space="preserve"> and notes that </w:t>
      </w:r>
      <w:r w:rsidR="006A11C2" w:rsidRPr="006A11C2">
        <w:t xml:space="preserve">the Commission will assess the viability and appropriateness of the Transco System Alternative based on consideration of </w:t>
      </w:r>
      <w:r w:rsidR="00E16CFB">
        <w:t>non-environmental aspects of the project objectives</w:t>
      </w:r>
      <w:r w:rsidR="00A92BBC">
        <w:t xml:space="preserve"> </w:t>
      </w:r>
      <w:r w:rsidR="009C6155">
        <w:t xml:space="preserve"> </w:t>
      </w:r>
      <w:r w:rsidR="00E16CFB">
        <w:t>along with environmental factors</w:t>
      </w:r>
      <w:r w:rsidR="00E16CFB" w:rsidRPr="00F012E9">
        <w:t>.</w:t>
      </w:r>
      <w:r w:rsidR="00E16CFB" w:rsidRPr="00291245">
        <w:rPr>
          <w:rStyle w:val="FootnoteReference"/>
        </w:rPr>
        <w:footnoteReference w:id="203"/>
      </w:r>
      <w:r w:rsidR="00E16CFB" w:rsidRPr="00F012E9">
        <w:t xml:space="preserve">  </w:t>
      </w:r>
      <w:r w:rsidR="00230B87">
        <w:t>As discussed, the project is needed, and we find this need outweighs the environmental benefits associated with the System Alternative.</w:t>
      </w:r>
      <w:r w:rsidR="00E16CFB">
        <w:rPr>
          <w:rStyle w:val="FootnoteReference"/>
        </w:rPr>
        <w:footnoteReference w:id="204"/>
      </w:r>
      <w:r w:rsidR="006A11C2">
        <w:t xml:space="preserve">  </w:t>
      </w:r>
      <w:r w:rsidR="00420B24" w:rsidRPr="00420B24">
        <w:rPr>
          <w:rFonts w:ascii="Source Sans Pro" w:hAnsi="Source Sans Pro"/>
          <w:color w:val="1F1F1F"/>
          <w:sz w:val="25"/>
          <w:szCs w:val="25"/>
          <w:shd w:val="clear" w:color="auto" w:fill="FFFFFF"/>
        </w:rPr>
        <w:t xml:space="preserve"> </w:t>
      </w:r>
    </w:p>
    <w:p w14:paraId="2AEF9A3F" w14:textId="6AAD692E" w:rsidR="00FE4FF1" w:rsidRPr="001D7889" w:rsidRDefault="001D7889" w:rsidP="001D7889">
      <w:pPr>
        <w:pStyle w:val="Heading4"/>
        <w:rPr>
          <w:rFonts w:eastAsiaTheme="minorHAnsi"/>
          <w:kern w:val="0"/>
        </w:rPr>
      </w:pPr>
      <w:r w:rsidRPr="001D7889">
        <w:rPr>
          <w:rFonts w:eastAsiaTheme="minorHAnsi"/>
          <w:kern w:val="0"/>
        </w:rPr>
        <w:t>Mountain Valley’s Compliance Record</w:t>
      </w:r>
    </w:p>
    <w:p w14:paraId="13912215" w14:textId="77777777" w:rsidR="009D0B9C" w:rsidRPr="009D0B9C" w:rsidRDefault="007E7406" w:rsidP="002A21AE">
      <w:pPr>
        <w:pStyle w:val="FERCparanumber"/>
      </w:pPr>
      <w:r>
        <w:rPr>
          <w:szCs w:val="26"/>
        </w:rPr>
        <w:t>Some</w:t>
      </w:r>
      <w:r w:rsidR="002A21AE" w:rsidRPr="00C23025">
        <w:rPr>
          <w:szCs w:val="26"/>
        </w:rPr>
        <w:t xml:space="preserve"> commenters point to a series of violations documented by Virginia D</w:t>
      </w:r>
      <w:r w:rsidR="002A21AE">
        <w:rPr>
          <w:szCs w:val="26"/>
        </w:rPr>
        <w:t xml:space="preserve">epartment of </w:t>
      </w:r>
      <w:r w:rsidR="002A21AE" w:rsidRPr="00C23025">
        <w:rPr>
          <w:szCs w:val="26"/>
        </w:rPr>
        <w:t>E</w:t>
      </w:r>
      <w:r w:rsidR="002A21AE">
        <w:rPr>
          <w:szCs w:val="26"/>
        </w:rPr>
        <w:t xml:space="preserve">nvironmental </w:t>
      </w:r>
      <w:r w:rsidR="002A21AE" w:rsidRPr="00C23025">
        <w:rPr>
          <w:szCs w:val="26"/>
        </w:rPr>
        <w:t>Q</w:t>
      </w:r>
      <w:r w:rsidR="002A21AE">
        <w:rPr>
          <w:szCs w:val="26"/>
        </w:rPr>
        <w:t>uality (Virginia DEQ)</w:t>
      </w:r>
      <w:r w:rsidR="002A21AE" w:rsidRPr="00C23025">
        <w:rPr>
          <w:szCs w:val="26"/>
        </w:rPr>
        <w:t xml:space="preserve"> and West Virginia D</w:t>
      </w:r>
      <w:r w:rsidR="002A21AE">
        <w:rPr>
          <w:szCs w:val="26"/>
        </w:rPr>
        <w:t>epartment of Environmental Protection (West Virginia DEP)</w:t>
      </w:r>
      <w:r w:rsidR="002A21AE" w:rsidRPr="00C23025">
        <w:rPr>
          <w:szCs w:val="26"/>
        </w:rPr>
        <w:t xml:space="preserve"> due to issues with erosion control and runoff at project construction sites</w:t>
      </w:r>
      <w:r w:rsidR="002A21AE">
        <w:rPr>
          <w:szCs w:val="26"/>
        </w:rPr>
        <w:t xml:space="preserve"> for </w:t>
      </w:r>
      <w:r w:rsidR="00391D49">
        <w:rPr>
          <w:szCs w:val="26"/>
        </w:rPr>
        <w:t>Mountain Valley’s</w:t>
      </w:r>
      <w:r w:rsidR="002A21AE">
        <w:rPr>
          <w:szCs w:val="26"/>
        </w:rPr>
        <w:t xml:space="preserve"> </w:t>
      </w:r>
      <w:r w:rsidR="00837FA8">
        <w:rPr>
          <w:szCs w:val="26"/>
        </w:rPr>
        <w:t xml:space="preserve">Mainline </w:t>
      </w:r>
      <w:r w:rsidR="008C7DBD">
        <w:rPr>
          <w:szCs w:val="26"/>
        </w:rPr>
        <w:t>System</w:t>
      </w:r>
      <w:r w:rsidR="002A21AE" w:rsidRPr="00C23025">
        <w:rPr>
          <w:szCs w:val="26"/>
        </w:rPr>
        <w:t>.</w:t>
      </w:r>
      <w:r w:rsidR="002A21AE" w:rsidRPr="00FC45DC">
        <w:rPr>
          <w:rStyle w:val="FootnoteReference"/>
        </w:rPr>
        <w:footnoteReference w:id="205"/>
      </w:r>
      <w:r w:rsidR="002A21AE" w:rsidRPr="00291245">
        <w:rPr>
          <w:rStyle w:val="FootnoteReference"/>
        </w:rPr>
        <w:t xml:space="preserve"> </w:t>
      </w:r>
      <w:r w:rsidR="002A21AE" w:rsidRPr="00C23025">
        <w:rPr>
          <w:szCs w:val="26"/>
        </w:rPr>
        <w:t xml:space="preserve"> </w:t>
      </w:r>
    </w:p>
    <w:p w14:paraId="4E667177" w14:textId="16126481" w:rsidR="009D0B9C" w:rsidRPr="009D0B9C" w:rsidRDefault="009D0B9C" w:rsidP="009D0B9C">
      <w:pPr>
        <w:pStyle w:val="FERCparanumber"/>
        <w:rPr>
          <w:szCs w:val="26"/>
        </w:rPr>
      </w:pPr>
      <w:r>
        <w:rPr>
          <w:szCs w:val="26"/>
        </w:rPr>
        <w:t xml:space="preserve">First, we note that the United States Court of Appeals for the District of Columbia Circuit previously found that the Commission appropriately distinguished the mitigation measures for erosion and runoff for the Southgate Project from those that failed for the </w:t>
      </w:r>
      <w:r>
        <w:rPr>
          <w:szCs w:val="26"/>
        </w:rPr>
        <w:lastRenderedPageBreak/>
        <w:t>Mainline System.</w:t>
      </w:r>
      <w:r>
        <w:rPr>
          <w:rStyle w:val="FootnoteReference"/>
          <w:szCs w:val="26"/>
        </w:rPr>
        <w:footnoteReference w:id="206"/>
      </w:r>
      <w:r>
        <w:rPr>
          <w:szCs w:val="26"/>
        </w:rPr>
        <w:t xml:space="preserve">  The court accepted the </w:t>
      </w:r>
      <w:r w:rsidRPr="005C038D">
        <w:rPr>
          <w:szCs w:val="26"/>
        </w:rPr>
        <w:t>Commission</w:t>
      </w:r>
      <w:r>
        <w:rPr>
          <w:szCs w:val="26"/>
        </w:rPr>
        <w:t>’s explanation</w:t>
      </w:r>
      <w:r w:rsidRPr="005C038D">
        <w:rPr>
          <w:szCs w:val="26"/>
        </w:rPr>
        <w:t xml:space="preserve"> that the 2018 precipitation levels that caused erosion and sedimentation issues during construction of the Mainline System are not expected to repeat, but if they should, </w:t>
      </w:r>
      <w:r>
        <w:rPr>
          <w:szCs w:val="26"/>
        </w:rPr>
        <w:t xml:space="preserve">that </w:t>
      </w:r>
      <w:r w:rsidRPr="005C038D">
        <w:rPr>
          <w:szCs w:val="26"/>
        </w:rPr>
        <w:t>erosion would be limited because the Southgate Project traverses flatter terrain than the Mainline System and Mountain Valley would implement additional weather monitoring and other measures.</w:t>
      </w:r>
      <w:r>
        <w:rPr>
          <w:rStyle w:val="FootnoteReference"/>
          <w:szCs w:val="26"/>
        </w:rPr>
        <w:footnoteReference w:id="207"/>
      </w:r>
      <w:r w:rsidRPr="005C038D">
        <w:rPr>
          <w:szCs w:val="26"/>
        </w:rPr>
        <w:t xml:space="preserve">  </w:t>
      </w:r>
    </w:p>
    <w:p w14:paraId="5B406671" w14:textId="4CC11606" w:rsidR="002A21AE" w:rsidRPr="002A21AE" w:rsidRDefault="009D0B9C" w:rsidP="002A21AE">
      <w:pPr>
        <w:pStyle w:val="FERCparanumber"/>
      </w:pPr>
      <w:r>
        <w:rPr>
          <w:szCs w:val="26"/>
        </w:rPr>
        <w:t>Additionally, s</w:t>
      </w:r>
      <w:r w:rsidR="002A21AE">
        <w:rPr>
          <w:szCs w:val="26"/>
        </w:rPr>
        <w:t xml:space="preserve">taff’s review </w:t>
      </w:r>
      <w:r w:rsidR="00F676D7">
        <w:rPr>
          <w:szCs w:val="26"/>
        </w:rPr>
        <w:t>found</w:t>
      </w:r>
      <w:r w:rsidR="002A21AE">
        <w:rPr>
          <w:szCs w:val="26"/>
        </w:rPr>
        <w:t xml:space="preserve"> that most of the violations </w:t>
      </w:r>
      <w:r>
        <w:rPr>
          <w:szCs w:val="26"/>
        </w:rPr>
        <w:t>that occurred during</w:t>
      </w:r>
      <w:r w:rsidR="00D8206C">
        <w:rPr>
          <w:szCs w:val="26"/>
        </w:rPr>
        <w:t xml:space="preserve"> construction of the Mainline System </w:t>
      </w:r>
      <w:r w:rsidR="002A21AE">
        <w:rPr>
          <w:szCs w:val="26"/>
        </w:rPr>
        <w:t>did not result in resource impact</w:t>
      </w:r>
      <w:r w:rsidR="00391D49">
        <w:rPr>
          <w:szCs w:val="26"/>
        </w:rPr>
        <w:t>s</w:t>
      </w:r>
      <w:r w:rsidR="002A21AE">
        <w:rPr>
          <w:szCs w:val="26"/>
        </w:rPr>
        <w:t>.</w:t>
      </w:r>
      <w:r w:rsidR="004310D9">
        <w:rPr>
          <w:rStyle w:val="FootnoteReference"/>
          <w:szCs w:val="26"/>
        </w:rPr>
        <w:footnoteReference w:id="208"/>
      </w:r>
      <w:r w:rsidR="002A21AE">
        <w:rPr>
          <w:szCs w:val="26"/>
        </w:rPr>
        <w:t xml:space="preserve">  </w:t>
      </w:r>
      <w:r w:rsidR="00605BF2">
        <w:rPr>
          <w:szCs w:val="26"/>
        </w:rPr>
        <w:t xml:space="preserve">Additionally, </w:t>
      </w:r>
      <w:r w:rsidR="00915858" w:rsidRPr="006D6EBA">
        <w:rPr>
          <w:szCs w:val="26"/>
        </w:rPr>
        <w:t>Mountain</w:t>
      </w:r>
      <w:r w:rsidR="00915858" w:rsidRPr="00915858">
        <w:rPr>
          <w:szCs w:val="26"/>
        </w:rPr>
        <w:t> </w:t>
      </w:r>
      <w:r w:rsidR="00915858" w:rsidRPr="006D6EBA">
        <w:rPr>
          <w:szCs w:val="26"/>
        </w:rPr>
        <w:t>Valley</w:t>
      </w:r>
      <w:r w:rsidR="00915858" w:rsidRPr="00915858">
        <w:rPr>
          <w:szCs w:val="26"/>
        </w:rPr>
        <w:t> reached consent decrees with both Virginia DE</w:t>
      </w:r>
      <w:r w:rsidR="00532A4B">
        <w:rPr>
          <w:szCs w:val="26"/>
        </w:rPr>
        <w:t>P</w:t>
      </w:r>
      <w:r w:rsidR="00915858" w:rsidRPr="00915858">
        <w:rPr>
          <w:szCs w:val="26"/>
        </w:rPr>
        <w:t> and West Virginia DEP to resolve </w:t>
      </w:r>
      <w:r w:rsidR="00915858" w:rsidRPr="006D6EBA">
        <w:rPr>
          <w:szCs w:val="26"/>
        </w:rPr>
        <w:t>violations</w:t>
      </w:r>
      <w:r w:rsidR="00915858" w:rsidRPr="00915858">
        <w:rPr>
          <w:szCs w:val="26"/>
        </w:rPr>
        <w:t> of state environmental standards and regulations, and no additional action by the Commission is necessary</w:t>
      </w:r>
      <w:r w:rsidR="00605BF2">
        <w:rPr>
          <w:szCs w:val="26"/>
        </w:rPr>
        <w:t>.</w:t>
      </w:r>
      <w:r w:rsidR="00605BF2">
        <w:rPr>
          <w:rStyle w:val="FootnoteReference"/>
          <w:szCs w:val="26"/>
        </w:rPr>
        <w:footnoteReference w:id="209"/>
      </w:r>
      <w:r w:rsidR="002742FB">
        <w:rPr>
          <w:szCs w:val="26"/>
        </w:rPr>
        <w:t xml:space="preserve">  </w:t>
      </w:r>
      <w:r w:rsidR="007829B3" w:rsidRPr="00615F81">
        <w:rPr>
          <w:szCs w:val="26"/>
        </w:rPr>
        <w:t>Moreover</w:t>
      </w:r>
      <w:r w:rsidR="007829B3">
        <w:rPr>
          <w:szCs w:val="26"/>
        </w:rPr>
        <w:t xml:space="preserve">, we note that Virginia DEQ </w:t>
      </w:r>
      <w:r w:rsidR="00A05699">
        <w:rPr>
          <w:szCs w:val="26"/>
        </w:rPr>
        <w:t xml:space="preserve">is currently considering </w:t>
      </w:r>
      <w:r w:rsidR="007829B3">
        <w:rPr>
          <w:szCs w:val="26"/>
        </w:rPr>
        <w:t>a water quality certification for the Amended Project</w:t>
      </w:r>
      <w:r w:rsidR="00AD053D">
        <w:rPr>
          <w:szCs w:val="26"/>
        </w:rPr>
        <w:t xml:space="preserve"> and will be able to take into account any</w:t>
      </w:r>
      <w:r w:rsidR="004D05F2">
        <w:rPr>
          <w:szCs w:val="26"/>
        </w:rPr>
        <w:t xml:space="preserve"> concern</w:t>
      </w:r>
      <w:r w:rsidR="00AD053D">
        <w:rPr>
          <w:szCs w:val="26"/>
        </w:rPr>
        <w:t>s</w:t>
      </w:r>
      <w:r w:rsidR="004D05F2">
        <w:rPr>
          <w:szCs w:val="26"/>
        </w:rPr>
        <w:t xml:space="preserve"> about past </w:t>
      </w:r>
      <w:r w:rsidR="006B0BFC">
        <w:rPr>
          <w:szCs w:val="26"/>
        </w:rPr>
        <w:t>violation</w:t>
      </w:r>
      <w:r w:rsidR="00B95DE6">
        <w:rPr>
          <w:szCs w:val="26"/>
        </w:rPr>
        <w:t>s.</w:t>
      </w:r>
    </w:p>
    <w:p w14:paraId="5FA81531" w14:textId="2F11F0DE" w:rsidR="002A21AE" w:rsidRPr="0049750F" w:rsidRDefault="0049750F" w:rsidP="0049750F">
      <w:pPr>
        <w:pStyle w:val="Heading4"/>
        <w:rPr>
          <w:rFonts w:eastAsiaTheme="minorHAnsi"/>
          <w:kern w:val="0"/>
        </w:rPr>
      </w:pPr>
      <w:r w:rsidRPr="0049750F">
        <w:rPr>
          <w:rFonts w:eastAsiaTheme="minorHAnsi"/>
          <w:kern w:val="0"/>
        </w:rPr>
        <w:t>Bonds</w:t>
      </w:r>
    </w:p>
    <w:p w14:paraId="2C4FEE68" w14:textId="293B6DB5" w:rsidR="002A21AE" w:rsidRPr="00FE4FF1" w:rsidRDefault="00EC2D22" w:rsidP="002A21AE">
      <w:pPr>
        <w:pStyle w:val="FERCparanumber"/>
        <w:rPr>
          <w:szCs w:val="24"/>
        </w:rPr>
      </w:pPr>
      <w:r w:rsidRPr="00120A45">
        <w:t>As noted in the EA,</w:t>
      </w:r>
      <w:r w:rsidR="001D2753" w:rsidRPr="001D2753">
        <w:rPr>
          <w:rFonts w:ascii="Segoe UI" w:hAnsi="Segoe UI" w:cs="Segoe UI"/>
          <w:sz w:val="18"/>
          <w:szCs w:val="18"/>
        </w:rPr>
        <w:t xml:space="preserve"> </w:t>
      </w:r>
      <w:r w:rsidR="001D2753" w:rsidRPr="001D2753">
        <w:t xml:space="preserve">Mountain Valley will obtain all necessary permits for public road crossings or work within public road rights-of-way, including required road bonds necessary for construction vehicle usage and permits from </w:t>
      </w:r>
      <w:r w:rsidRPr="00120A45">
        <w:t>Virginia Department of Transportation and North Carolina Department of Transportation</w:t>
      </w:r>
      <w:r w:rsidR="004276C4">
        <w:t>.</w:t>
      </w:r>
      <w:r w:rsidRPr="00291245">
        <w:rPr>
          <w:rStyle w:val="FootnoteReference"/>
        </w:rPr>
        <w:footnoteReference w:id="210"/>
      </w:r>
      <w:r w:rsidR="005D2F23">
        <w:t xml:space="preserve">  </w:t>
      </w:r>
      <w:r w:rsidRPr="00120A45">
        <w:t xml:space="preserve"> </w:t>
      </w:r>
      <w:r w:rsidR="005D2F23" w:rsidRPr="00120A45">
        <w:t>One commenter states</w:t>
      </w:r>
      <w:r w:rsidR="005D2F23">
        <w:t xml:space="preserve"> that</w:t>
      </w:r>
      <w:r w:rsidR="005D2F23" w:rsidRPr="00120A45">
        <w:t xml:space="preserve"> </w:t>
      </w:r>
      <w:r w:rsidR="005D2F23">
        <w:t xml:space="preserve">the </w:t>
      </w:r>
      <w:r w:rsidR="005D2F23" w:rsidRPr="00120A45">
        <w:t xml:space="preserve">bonds would be insufficient to </w:t>
      </w:r>
      <w:r w:rsidR="005D2F23">
        <w:t>reimburse</w:t>
      </w:r>
      <w:r w:rsidR="005D2F23" w:rsidRPr="00120A45">
        <w:t xml:space="preserve"> the community</w:t>
      </w:r>
      <w:r w:rsidR="005D2F23">
        <w:t xml:space="preserve"> for any damages caused by the project</w:t>
      </w:r>
      <w:r w:rsidR="005D2F23" w:rsidRPr="00120A45">
        <w:t>.</w:t>
      </w:r>
      <w:r w:rsidR="005D2F23" w:rsidRPr="00291245">
        <w:rPr>
          <w:rStyle w:val="FootnoteReference"/>
        </w:rPr>
        <w:footnoteReference w:id="211"/>
      </w:r>
      <w:r w:rsidR="005D2F23" w:rsidRPr="00120A45">
        <w:t xml:space="preserve">  </w:t>
      </w:r>
      <w:r w:rsidRPr="00120A45">
        <w:t xml:space="preserve"> </w:t>
      </w:r>
      <w:r w:rsidR="007C195E">
        <w:t>T</w:t>
      </w:r>
      <w:r w:rsidRPr="00120A45">
        <w:t xml:space="preserve">he Commission does not require bonds because the </w:t>
      </w:r>
      <w:r w:rsidRPr="00120A45">
        <w:lastRenderedPageBreak/>
        <w:t>Commission has the authority to require restoration and remediation</w:t>
      </w:r>
      <w:r>
        <w:t xml:space="preserve"> of construction impacts</w:t>
      </w:r>
      <w:r w:rsidRPr="00120A45">
        <w:t xml:space="preserve"> to satisfactory levels.</w:t>
      </w:r>
      <w:r w:rsidRPr="00291245">
        <w:rPr>
          <w:rStyle w:val="FootnoteReference"/>
        </w:rPr>
        <w:footnoteReference w:id="212"/>
      </w:r>
      <w:r w:rsidRPr="00120A45">
        <w:t xml:space="preserve">  </w:t>
      </w:r>
    </w:p>
    <w:p w14:paraId="61C70D23" w14:textId="15B19DA1" w:rsidR="002A21AE" w:rsidRPr="001B7087" w:rsidRDefault="001B7087" w:rsidP="001B7087">
      <w:pPr>
        <w:pStyle w:val="Heading4"/>
        <w:rPr>
          <w:rFonts w:eastAsiaTheme="minorHAnsi"/>
          <w:kern w:val="0"/>
        </w:rPr>
      </w:pPr>
      <w:r w:rsidRPr="001B7087">
        <w:rPr>
          <w:rFonts w:eastAsiaTheme="minorHAnsi"/>
          <w:kern w:val="0"/>
        </w:rPr>
        <w:t>Shipment of Natural Gas Overseas</w:t>
      </w:r>
    </w:p>
    <w:p w14:paraId="21698D78" w14:textId="4655CF89" w:rsidR="00C32689" w:rsidRPr="00C7278D" w:rsidRDefault="00160B70" w:rsidP="00C7278D">
      <w:pPr>
        <w:pStyle w:val="FERCparanumber"/>
        <w:rPr>
          <w:szCs w:val="24"/>
        </w:rPr>
      </w:pPr>
      <w:r w:rsidRPr="00F22D8C">
        <w:t xml:space="preserve">One </w:t>
      </w:r>
      <w:bookmarkStart w:id="6" w:name="_Hlk213800183"/>
      <w:r w:rsidRPr="00F22D8C">
        <w:t xml:space="preserve">commenter states </w:t>
      </w:r>
      <w:r w:rsidR="007C195E">
        <w:t xml:space="preserve">that </w:t>
      </w:r>
      <w:r w:rsidRPr="00F22D8C">
        <w:t xml:space="preserve">gas from the </w:t>
      </w:r>
      <w:r w:rsidR="00777CB0">
        <w:t>Amendment</w:t>
      </w:r>
      <w:r>
        <w:t xml:space="preserve"> Project</w:t>
      </w:r>
      <w:r w:rsidRPr="00F22D8C">
        <w:t xml:space="preserve"> would be shipped overseas.</w:t>
      </w:r>
      <w:r w:rsidRPr="004B5EAF">
        <w:rPr>
          <w:b/>
          <w:bCs/>
          <w:vertAlign w:val="superscript"/>
        </w:rPr>
        <w:footnoteReference w:id="213"/>
      </w:r>
      <w:r w:rsidRPr="004B5EAF">
        <w:rPr>
          <w:b/>
          <w:bCs/>
        </w:rPr>
        <w:t xml:space="preserve">  </w:t>
      </w:r>
      <w:r w:rsidR="00240302" w:rsidRPr="00936B0D">
        <w:rPr>
          <w:szCs w:val="26"/>
        </w:rPr>
        <w:t>Sierra Club</w:t>
      </w:r>
      <w:r w:rsidR="00240302">
        <w:rPr>
          <w:szCs w:val="26"/>
        </w:rPr>
        <w:t xml:space="preserve"> </w:t>
      </w:r>
      <w:r w:rsidR="000C6ED9">
        <w:rPr>
          <w:szCs w:val="26"/>
        </w:rPr>
        <w:t>states t</w:t>
      </w:r>
      <w:r w:rsidR="00240302">
        <w:rPr>
          <w:szCs w:val="26"/>
        </w:rPr>
        <w:t xml:space="preserve">hat the project </w:t>
      </w:r>
      <w:r w:rsidR="000C6ED9">
        <w:rPr>
          <w:szCs w:val="26"/>
        </w:rPr>
        <w:t>would</w:t>
      </w:r>
      <w:r w:rsidR="00240302" w:rsidRPr="00377A7D">
        <w:rPr>
          <w:szCs w:val="26"/>
        </w:rPr>
        <w:t xml:space="preserve"> not benefit American citizens who</w:t>
      </w:r>
      <w:r w:rsidR="00240302">
        <w:rPr>
          <w:szCs w:val="26"/>
        </w:rPr>
        <w:t xml:space="preserve"> live nearby.</w:t>
      </w:r>
      <w:r w:rsidR="00240302">
        <w:rPr>
          <w:rStyle w:val="FootnoteReference"/>
          <w:szCs w:val="26"/>
        </w:rPr>
        <w:footnoteReference w:id="214"/>
      </w:r>
      <w:r w:rsidR="00240302">
        <w:rPr>
          <w:szCs w:val="26"/>
        </w:rPr>
        <w:t xml:space="preserve">  </w:t>
      </w:r>
      <w:r w:rsidR="006F41BB">
        <w:rPr>
          <w:szCs w:val="26"/>
        </w:rPr>
        <w:t xml:space="preserve">As </w:t>
      </w:r>
      <w:r w:rsidR="0050754F">
        <w:rPr>
          <w:szCs w:val="26"/>
        </w:rPr>
        <w:t>explained</w:t>
      </w:r>
      <w:r w:rsidR="006F41BB">
        <w:rPr>
          <w:szCs w:val="26"/>
        </w:rPr>
        <w:t xml:space="preserve"> in the EA, the </w:t>
      </w:r>
      <w:r w:rsidR="00777CB0">
        <w:rPr>
          <w:szCs w:val="26"/>
        </w:rPr>
        <w:t>Amendment</w:t>
      </w:r>
      <w:r w:rsidR="006F41BB">
        <w:rPr>
          <w:szCs w:val="26"/>
        </w:rPr>
        <w:t xml:space="preserve"> Project’s delivery locations would be in North Carolina and the export of natural gas is not proposed.</w:t>
      </w:r>
      <w:r w:rsidR="006F41BB" w:rsidRPr="00FF4B3C">
        <w:rPr>
          <w:b/>
          <w:szCs w:val="26"/>
          <w:vertAlign w:val="superscript"/>
        </w:rPr>
        <w:footnoteReference w:id="215"/>
      </w:r>
      <w:bookmarkEnd w:id="6"/>
      <w:r w:rsidRPr="00F22D8C">
        <w:t xml:space="preserve"> </w:t>
      </w:r>
      <w:r w:rsidR="0050754F">
        <w:t xml:space="preserve"> </w:t>
      </w:r>
      <w:r w:rsidR="00240302">
        <w:rPr>
          <w:szCs w:val="26"/>
        </w:rPr>
        <w:t xml:space="preserve">However, as noted above, the </w:t>
      </w:r>
      <w:r w:rsidR="00240302">
        <w:t>Commission does not regulate or track how shippers decide to flow natural gas downstream</w:t>
      </w:r>
      <w:r w:rsidR="00240302" w:rsidRPr="00C75A33">
        <w:t xml:space="preserve">.  </w:t>
      </w:r>
      <w:r>
        <w:rPr>
          <w:szCs w:val="26"/>
        </w:rPr>
        <w:t xml:space="preserve">  </w:t>
      </w:r>
    </w:p>
    <w:p w14:paraId="2A7CFED8" w14:textId="315CA92B" w:rsidR="00A62F2B" w:rsidRPr="002D5A75" w:rsidRDefault="00105D58" w:rsidP="002D5A75">
      <w:pPr>
        <w:pStyle w:val="Heading4"/>
        <w:rPr>
          <w:rFonts w:eastAsiaTheme="minorHAnsi"/>
          <w:kern w:val="0"/>
        </w:rPr>
      </w:pPr>
      <w:r w:rsidRPr="00105D58">
        <w:rPr>
          <w:rFonts w:eastAsiaTheme="minorHAnsi"/>
          <w:kern w:val="0"/>
        </w:rPr>
        <w:t>Environmental Analysis Conclusion</w:t>
      </w:r>
    </w:p>
    <w:p w14:paraId="4A18284E" w14:textId="2E09E75E" w:rsidR="00792759" w:rsidRDefault="002D5A75" w:rsidP="00977EF6">
      <w:pPr>
        <w:pStyle w:val="FERCparanumber"/>
        <w:rPr>
          <w:szCs w:val="26"/>
        </w:rPr>
      </w:pPr>
      <w:r w:rsidRPr="00940929" w:rsidDel="000C2A37">
        <w:t xml:space="preserve">We have reviewed the information and analysis contained in the EA, as well as the other information in the record, regarding potential environmental effects of the </w:t>
      </w:r>
      <w:r w:rsidR="00777CB0">
        <w:t>Amendment</w:t>
      </w:r>
      <w:r w:rsidDel="000C2A37">
        <w:t xml:space="preserve"> Project</w:t>
      </w:r>
      <w:r w:rsidRPr="00940929" w:rsidDel="000C2A37">
        <w:t>.  We accept the environmental recommendations in the EA, and includ</w:t>
      </w:r>
      <w:r w:rsidR="00D108A9">
        <w:t>e</w:t>
      </w:r>
      <w:r w:rsidRPr="00940929" w:rsidDel="000C2A37">
        <w:t xml:space="preserve"> them as conditions in an appendix to this order.  </w:t>
      </w:r>
      <w:r w:rsidRPr="004D4B28" w:rsidDel="000C2A37">
        <w:t xml:space="preserve">Based on the </w:t>
      </w:r>
      <w:r w:rsidDel="000C2A37">
        <w:t>analysis</w:t>
      </w:r>
      <w:r w:rsidRPr="004D4B28" w:rsidDel="000C2A37">
        <w:t xml:space="preserve"> in the EA, </w:t>
      </w:r>
      <w:r w:rsidRPr="00B9158D" w:rsidDel="000C2A37">
        <w:t xml:space="preserve">as supplemented or clarified </w:t>
      </w:r>
      <w:r w:rsidRPr="00171EEB">
        <w:rPr>
          <w:szCs w:val="26"/>
        </w:rPr>
        <w:t>herein,</w:t>
      </w:r>
      <w:r w:rsidRPr="00171EEB">
        <w:rPr>
          <w:b/>
          <w:szCs w:val="26"/>
          <w:vertAlign w:val="superscript"/>
        </w:rPr>
        <w:footnoteReference w:id="216"/>
      </w:r>
      <w:r w:rsidRPr="00171EEB">
        <w:rPr>
          <w:szCs w:val="26"/>
        </w:rPr>
        <w:t xml:space="preserve"> we conclude that if constructed and operated in accordance with </w:t>
      </w:r>
      <w:r>
        <w:rPr>
          <w:szCs w:val="26"/>
        </w:rPr>
        <w:t>Mountain Valley’s</w:t>
      </w:r>
      <w:r w:rsidRPr="00171EEB">
        <w:rPr>
          <w:szCs w:val="26"/>
        </w:rPr>
        <w:t xml:space="preserve"> application and supplements, and in compliance with the environmental conditions in the appendix to this order our approval of this proposal would not constitute a major federal action significantly affecting the quality of the human environment.</w:t>
      </w:r>
      <w:r w:rsidRPr="00171EEB">
        <w:rPr>
          <w:b/>
          <w:bCs/>
          <w:szCs w:val="26"/>
          <w:vertAlign w:val="superscript"/>
        </w:rPr>
        <w:footnoteReference w:id="217"/>
      </w:r>
      <w:r w:rsidRPr="00171EEB">
        <w:rPr>
          <w:szCs w:val="26"/>
        </w:rPr>
        <w:t xml:space="preserve"> </w:t>
      </w:r>
    </w:p>
    <w:p w14:paraId="67497E39" w14:textId="32680C5D" w:rsidR="006C2C68" w:rsidRPr="003D5C85" w:rsidRDefault="006C2C68" w:rsidP="003D5C85">
      <w:pPr>
        <w:pStyle w:val="FERCparanumber"/>
        <w:rPr>
          <w:szCs w:val="26"/>
        </w:rPr>
      </w:pPr>
      <w:r w:rsidRPr="005D7D85">
        <w:t xml:space="preserve">Compliance with the environmental conditions appended to our orders is integral to ensuring that the environmental effects of approved projects are consistent with those anticipated by our environmental analyses.  Thus, Commission staff carefully reviews all information submitted.  Only when satisfied that the applicant has complied with all </w:t>
      </w:r>
      <w:r w:rsidRPr="005D7D85">
        <w:lastRenderedPageBreak/>
        <w:t xml:space="preserve">applicable conditions will a notice to proceed with the activity to which the conditions are relevant be issued.  We also note that the Commission has the authority to take whatever steps are necessary to ensure the protection of environmental resources during construction and operation of the </w:t>
      </w:r>
      <w:r w:rsidR="00777CB0">
        <w:t>Amendment</w:t>
      </w:r>
      <w:r w:rsidRPr="005D7D85">
        <w:t xml:space="preserve"> Project, including authority to impose any additional measures deemed necessary to ensure continued compliance with the intent of the conditions of the order, as well as the avoidance or mitigation of unforeseen adverse environmental effects resulting from </w:t>
      </w:r>
      <w:r w:rsidR="00777CB0">
        <w:t>Amendment</w:t>
      </w:r>
      <w:r w:rsidRPr="005D7D85">
        <w:t xml:space="preserve"> Project construction and operation.</w:t>
      </w:r>
    </w:p>
    <w:p w14:paraId="1BCF1A0C" w14:textId="7DF38C2F" w:rsidR="00792759" w:rsidRDefault="00792759" w:rsidP="00792759">
      <w:pPr>
        <w:pStyle w:val="Heading2"/>
      </w:pPr>
      <w:r>
        <w:t>Conclusion</w:t>
      </w:r>
    </w:p>
    <w:p w14:paraId="0C32F38A" w14:textId="37BA618B" w:rsidR="00792759" w:rsidRDefault="00792759" w:rsidP="00792759">
      <w:pPr>
        <w:pStyle w:val="FERCparanumber"/>
      </w:pPr>
      <w:r>
        <w:t xml:space="preserve">We </w:t>
      </w:r>
      <w:r w:rsidRPr="00792759">
        <w:t>find that</w:t>
      </w:r>
      <w:r w:rsidR="00152391">
        <w:t xml:space="preserve"> Mountain Valley</w:t>
      </w:r>
      <w:r w:rsidRPr="00792759">
        <w:t xml:space="preserve"> has demonstrated a need for the </w:t>
      </w:r>
      <w:r w:rsidR="008B36CD">
        <w:t>Southgate Amendment</w:t>
      </w:r>
      <w:r w:rsidR="00152391">
        <w:t xml:space="preserve"> </w:t>
      </w:r>
      <w:r w:rsidRPr="00792759">
        <w:t xml:space="preserve">Project, which will provide </w:t>
      </w:r>
      <w:r w:rsidR="00152391">
        <w:t>550,000</w:t>
      </w:r>
      <w:r w:rsidRPr="00792759">
        <w:t xml:space="preserve"> Dth/d of firm transportation service.  Further, the project will not have adverse impacts on </w:t>
      </w:r>
      <w:r w:rsidR="00152391">
        <w:t>Mountain Valley</w:t>
      </w:r>
      <w:r w:rsidRPr="00792759">
        <w:t xml:space="preserve">’s existing shippers or other pipelines and their existing customers, and the project’s benefits will outweigh any adverse </w:t>
      </w:r>
      <w:r w:rsidR="00D37C1E">
        <w:t xml:space="preserve">economic </w:t>
      </w:r>
      <w:r w:rsidRPr="00792759">
        <w:t xml:space="preserve">effects on landowners and surrounding communities.  The Commission recognizes that the proposed project would impact the environment and individuals living in the vicinity of the project facilities, but that the project impacts, as mitigated, would not be significant.  Based on the discussion above, we conclude that, under section 7 of the NGA, the public convenience and necessity requires approval of </w:t>
      </w:r>
      <w:r w:rsidR="004D7C75">
        <w:t xml:space="preserve">the </w:t>
      </w:r>
      <w:r w:rsidR="008B36CD">
        <w:t>Southgate Amendment</w:t>
      </w:r>
      <w:r w:rsidRPr="00792759">
        <w:t xml:space="preserve"> Project, subject to the conditions in this order.</w:t>
      </w:r>
    </w:p>
    <w:p w14:paraId="149588ED" w14:textId="271401D5" w:rsidR="0090753C" w:rsidRPr="00020475" w:rsidRDefault="0090753C" w:rsidP="0090753C">
      <w:pPr>
        <w:pStyle w:val="FERCparanumber"/>
        <w:rPr>
          <w:bCs/>
        </w:rPr>
      </w:pPr>
      <w:r>
        <w:t>Any</w:t>
      </w:r>
      <w:r w:rsidRPr="007B0312">
        <w:t xml:space="preserve"> state or local permits issued with respect to the jurisdictional facilities authorized herein must be consistent with the conditions of this certificate.  The Commission encourages cooperation between interstate pipelines and local authorities.  This does not mean, however, that state and local agencies, through application of state or local laws, may prohibit or unreasonably delay the construction or operation of facilities approved by this Commission.</w:t>
      </w:r>
      <w:r w:rsidRPr="007B0312">
        <w:rPr>
          <w:rStyle w:val="FootnoteReference"/>
        </w:rPr>
        <w:footnoteReference w:id="218"/>
      </w:r>
    </w:p>
    <w:p w14:paraId="5990C98B" w14:textId="23CDFCEC" w:rsidR="00572F8B" w:rsidRDefault="0090753C" w:rsidP="004E67E9">
      <w:pPr>
        <w:pStyle w:val="FERCparanumber"/>
      </w:pPr>
      <w:r w:rsidRPr="000853C7">
        <w:t>The Commission on its own motion received and made a part of the record in this proceeding all evidence, including the application, as supplemented, and exhibits thereto, and all comments, and upon consideration of the record</w:t>
      </w:r>
      <w:r w:rsidRPr="00F40535">
        <w:t>.</w:t>
      </w:r>
    </w:p>
    <w:p w14:paraId="7FF40F0F" w14:textId="77777777" w:rsidR="0054273B" w:rsidRDefault="0054273B" w:rsidP="0054273B">
      <w:pPr>
        <w:pStyle w:val="FERCparanumber"/>
        <w:numPr>
          <w:ilvl w:val="0"/>
          <w:numId w:val="0"/>
        </w:numPr>
      </w:pPr>
    </w:p>
    <w:p w14:paraId="68ADE88A" w14:textId="77777777" w:rsidR="0054273B" w:rsidRDefault="0054273B" w:rsidP="0054273B">
      <w:pPr>
        <w:pStyle w:val="FERCparanumber"/>
        <w:numPr>
          <w:ilvl w:val="0"/>
          <w:numId w:val="0"/>
        </w:numPr>
      </w:pPr>
    </w:p>
    <w:p w14:paraId="05E1623F" w14:textId="77777777" w:rsidR="002D1C68" w:rsidRDefault="002D1C68">
      <w:r w:rsidRPr="00CD0B38">
        <w:rPr>
          <w:u w:val="single"/>
        </w:rPr>
        <w:t>The Commission orders</w:t>
      </w:r>
      <w:r w:rsidRPr="00CD0B38">
        <w:t>:</w:t>
      </w:r>
    </w:p>
    <w:p w14:paraId="3282B752" w14:textId="77777777" w:rsidR="002D1C68" w:rsidRDefault="002D1C68"/>
    <w:p w14:paraId="008B1FDC" w14:textId="6C2F84AB" w:rsidR="00A97501" w:rsidRPr="00AD2817" w:rsidRDefault="002C3D70" w:rsidP="00A97501">
      <w:pPr>
        <w:pStyle w:val="ListParagraph"/>
        <w:numPr>
          <w:ilvl w:val="0"/>
          <w:numId w:val="23"/>
        </w:numPr>
        <w:rPr>
          <w:szCs w:val="26"/>
        </w:rPr>
      </w:pPr>
      <w:r>
        <w:rPr>
          <w:szCs w:val="26"/>
        </w:rPr>
        <w:t>The</w:t>
      </w:r>
      <w:r w:rsidR="00A97501" w:rsidRPr="00AD2817">
        <w:rPr>
          <w:szCs w:val="26"/>
        </w:rPr>
        <w:t xml:space="preserve"> </w:t>
      </w:r>
      <w:r w:rsidR="00943511">
        <w:rPr>
          <w:szCs w:val="26"/>
        </w:rPr>
        <w:t>Certificate Order</w:t>
      </w:r>
      <w:r w:rsidR="00062F43">
        <w:rPr>
          <w:szCs w:val="26"/>
        </w:rPr>
        <w:t xml:space="preserve"> issued in Docket No.</w:t>
      </w:r>
      <w:r w:rsidR="0008396B">
        <w:rPr>
          <w:szCs w:val="26"/>
        </w:rPr>
        <w:t xml:space="preserve"> CP19-14-000</w:t>
      </w:r>
      <w:r w:rsidR="00D77197">
        <w:rPr>
          <w:szCs w:val="26"/>
        </w:rPr>
        <w:t xml:space="preserve"> is amended</w:t>
      </w:r>
      <w:r w:rsidR="00A97501" w:rsidRPr="00AD2817">
        <w:rPr>
          <w:szCs w:val="26"/>
        </w:rPr>
        <w:t>, as described and conditioned herein, and as more fully described in the application and subsequent filings by the applicant, including any commitments made therein.</w:t>
      </w:r>
    </w:p>
    <w:p w14:paraId="7451E148" w14:textId="77777777" w:rsidR="00A97501" w:rsidRPr="00AD2817" w:rsidRDefault="00A97501" w:rsidP="00A97501">
      <w:pPr>
        <w:pStyle w:val="ListParagraph"/>
        <w:rPr>
          <w:szCs w:val="26"/>
        </w:rPr>
      </w:pPr>
    </w:p>
    <w:p w14:paraId="043C875D" w14:textId="1415CFF9" w:rsidR="00A97501" w:rsidRPr="00AD2817" w:rsidRDefault="00A97501" w:rsidP="00A97501">
      <w:pPr>
        <w:pStyle w:val="ListParagraph"/>
        <w:numPr>
          <w:ilvl w:val="0"/>
          <w:numId w:val="23"/>
        </w:numPr>
        <w:rPr>
          <w:szCs w:val="26"/>
        </w:rPr>
      </w:pPr>
      <w:r w:rsidRPr="00AD2817">
        <w:rPr>
          <w:szCs w:val="26"/>
        </w:rPr>
        <w:t xml:space="preserve">The certificate authority issued in Ordering Paragraph (A) is conditioned on </w:t>
      </w:r>
      <w:r w:rsidR="001647BC">
        <w:rPr>
          <w:szCs w:val="26"/>
        </w:rPr>
        <w:t>Mountain Valley</w:t>
      </w:r>
      <w:r w:rsidRPr="00AD2817">
        <w:rPr>
          <w:szCs w:val="26"/>
        </w:rPr>
        <w:t>:</w:t>
      </w:r>
    </w:p>
    <w:p w14:paraId="2121B1B6" w14:textId="77777777" w:rsidR="00A97501" w:rsidRPr="00AD2817" w:rsidRDefault="00A97501" w:rsidP="00A97501">
      <w:pPr>
        <w:rPr>
          <w:szCs w:val="26"/>
        </w:rPr>
      </w:pPr>
    </w:p>
    <w:p w14:paraId="24AB4C11" w14:textId="62D605E3" w:rsidR="00A97501" w:rsidRPr="00AD2817" w:rsidRDefault="00A97501" w:rsidP="00A97501">
      <w:pPr>
        <w:spacing w:after="240"/>
        <w:ind w:left="1440"/>
        <w:rPr>
          <w:szCs w:val="26"/>
        </w:rPr>
      </w:pPr>
      <w:r w:rsidRPr="00AD2817">
        <w:rPr>
          <w:szCs w:val="26"/>
        </w:rPr>
        <w:t>(1)</w:t>
      </w:r>
      <w:r w:rsidR="00D37C1E">
        <w:rPr>
          <w:szCs w:val="26"/>
        </w:rPr>
        <w:t xml:space="preserve">  </w:t>
      </w:r>
      <w:r w:rsidRPr="00AD2817">
        <w:rPr>
          <w:szCs w:val="26"/>
        </w:rPr>
        <w:t>completing construction of the proposed facilities and making them available for service within two years of the date of this order pursuant to section 157.20(b) of the Commission’s regulations;</w:t>
      </w:r>
    </w:p>
    <w:p w14:paraId="5A91DD73" w14:textId="2D473791" w:rsidR="00A97501" w:rsidRPr="00AD2817" w:rsidRDefault="00A97501" w:rsidP="00A97501">
      <w:pPr>
        <w:spacing w:after="240"/>
        <w:ind w:left="1440"/>
        <w:rPr>
          <w:szCs w:val="26"/>
          <w:highlight w:val="yellow"/>
        </w:rPr>
      </w:pPr>
      <w:r w:rsidRPr="00AD2817">
        <w:rPr>
          <w:szCs w:val="26"/>
        </w:rPr>
        <w:t>(2)</w:t>
      </w:r>
      <w:r w:rsidR="00D37C1E">
        <w:rPr>
          <w:szCs w:val="26"/>
        </w:rPr>
        <w:t xml:space="preserve">  </w:t>
      </w:r>
      <w:r w:rsidRPr="00AD2817">
        <w:rPr>
          <w:szCs w:val="26"/>
        </w:rPr>
        <w:t>complying with all applicable Commission regulations under the NGA including, but not limited to, Parts 154, 157, and 284, and paragraphs (a), (c), (e), and (f) of section 157.20 of the Commission’s regulations;</w:t>
      </w:r>
    </w:p>
    <w:p w14:paraId="28E9643D" w14:textId="38EA5E6C" w:rsidR="00A97501" w:rsidRPr="00AD2817" w:rsidRDefault="00A97501" w:rsidP="00A97501">
      <w:pPr>
        <w:spacing w:after="240"/>
        <w:ind w:left="1440"/>
        <w:rPr>
          <w:szCs w:val="26"/>
        </w:rPr>
      </w:pPr>
      <w:r w:rsidRPr="00AD2817">
        <w:rPr>
          <w:szCs w:val="26"/>
        </w:rPr>
        <w:t>(3)</w:t>
      </w:r>
      <w:r w:rsidR="00D37C1E">
        <w:rPr>
          <w:szCs w:val="26"/>
        </w:rPr>
        <w:t xml:space="preserve">  </w:t>
      </w:r>
      <w:r w:rsidRPr="00AD2817">
        <w:rPr>
          <w:szCs w:val="26"/>
        </w:rPr>
        <w:t>complying with the environmental conditions listed in the appendix to this order; and</w:t>
      </w:r>
    </w:p>
    <w:p w14:paraId="5BBF939D" w14:textId="633DA171" w:rsidR="002D1C68" w:rsidRPr="001647BC" w:rsidRDefault="00A97501" w:rsidP="001647BC">
      <w:pPr>
        <w:spacing w:after="240"/>
        <w:ind w:left="1440"/>
      </w:pPr>
      <w:r w:rsidRPr="00AD2817">
        <w:rPr>
          <w:szCs w:val="26"/>
        </w:rPr>
        <w:t>(4)</w:t>
      </w:r>
      <w:r w:rsidR="00D37C1E">
        <w:rPr>
          <w:szCs w:val="26"/>
        </w:rPr>
        <w:t xml:space="preserve">  </w:t>
      </w:r>
      <w:r w:rsidRPr="00AD2817">
        <w:rPr>
          <w:szCs w:val="26"/>
        </w:rPr>
        <w:t>filing a written statement affirming that it has executed firm contracts for of the capacity levels and terms of service represented in its filed precedent agreement</w:t>
      </w:r>
      <w:r w:rsidR="00E15045">
        <w:rPr>
          <w:szCs w:val="26"/>
        </w:rPr>
        <w:t>s</w:t>
      </w:r>
      <w:r w:rsidRPr="00AD2817">
        <w:rPr>
          <w:szCs w:val="26"/>
        </w:rPr>
        <w:t>, prior to commencing construction.</w:t>
      </w:r>
    </w:p>
    <w:p w14:paraId="7FBADFA7" w14:textId="1FF07605" w:rsidR="001A2ADC" w:rsidRDefault="001A2ADC" w:rsidP="001A2ADC">
      <w:pPr>
        <w:pStyle w:val="ListParagraph"/>
        <w:widowControl/>
        <w:numPr>
          <w:ilvl w:val="0"/>
          <w:numId w:val="23"/>
        </w:numPr>
        <w:spacing w:after="260"/>
        <w:rPr>
          <w:rFonts w:eastAsia="Calibri"/>
          <w:szCs w:val="26"/>
        </w:rPr>
      </w:pPr>
      <w:r w:rsidRPr="00877F18">
        <w:rPr>
          <w:rFonts w:eastAsia="Calibri"/>
          <w:szCs w:val="26"/>
        </w:rPr>
        <w:t xml:space="preserve">Mountain Valley’s </w:t>
      </w:r>
      <w:r>
        <w:rPr>
          <w:rFonts w:eastAsia="Calibri"/>
          <w:szCs w:val="26"/>
        </w:rPr>
        <w:t xml:space="preserve">revised </w:t>
      </w:r>
      <w:r w:rsidRPr="00877F18">
        <w:rPr>
          <w:rFonts w:eastAsia="Calibri"/>
          <w:szCs w:val="26"/>
        </w:rPr>
        <w:t xml:space="preserve">proposed rates for service on the </w:t>
      </w:r>
      <w:r w:rsidR="00777CB0">
        <w:rPr>
          <w:rFonts w:eastAsia="Calibri"/>
          <w:szCs w:val="26"/>
        </w:rPr>
        <w:t>Amendment</w:t>
      </w:r>
      <w:r w:rsidRPr="00877F18">
        <w:rPr>
          <w:rFonts w:eastAsia="Calibri"/>
          <w:szCs w:val="26"/>
        </w:rPr>
        <w:t xml:space="preserve"> </w:t>
      </w:r>
      <w:r>
        <w:rPr>
          <w:rFonts w:eastAsia="Calibri"/>
          <w:szCs w:val="26"/>
        </w:rPr>
        <w:t>Project</w:t>
      </w:r>
      <w:r w:rsidRPr="00877F18">
        <w:rPr>
          <w:rFonts w:eastAsia="Calibri"/>
          <w:szCs w:val="26"/>
        </w:rPr>
        <w:t xml:space="preserve"> are approved</w:t>
      </w:r>
      <w:r>
        <w:rPr>
          <w:rFonts w:eastAsia="Calibri"/>
          <w:szCs w:val="26"/>
        </w:rPr>
        <w:t>, subject to the conditions described above</w:t>
      </w:r>
      <w:r w:rsidRPr="00877F18">
        <w:rPr>
          <w:rFonts w:eastAsia="Calibri"/>
          <w:szCs w:val="26"/>
        </w:rPr>
        <w:t>.</w:t>
      </w:r>
    </w:p>
    <w:p w14:paraId="1D12EDC5" w14:textId="77777777" w:rsidR="00BE1446" w:rsidRPr="00877F18" w:rsidRDefault="00BE1446" w:rsidP="00BE1446">
      <w:pPr>
        <w:pStyle w:val="ListParagraph"/>
        <w:widowControl/>
        <w:spacing w:after="260"/>
        <w:rPr>
          <w:rFonts w:eastAsia="Calibri"/>
          <w:szCs w:val="26"/>
        </w:rPr>
      </w:pPr>
    </w:p>
    <w:p w14:paraId="4B6191A6" w14:textId="77777777" w:rsidR="00BE1446" w:rsidRDefault="00BE1446" w:rsidP="00BE1446">
      <w:pPr>
        <w:pStyle w:val="ListParagraph"/>
        <w:widowControl/>
        <w:numPr>
          <w:ilvl w:val="0"/>
          <w:numId w:val="23"/>
        </w:numPr>
        <w:spacing w:after="160" w:line="259" w:lineRule="auto"/>
        <w:rPr>
          <w:szCs w:val="26"/>
        </w:rPr>
      </w:pPr>
      <w:bookmarkStart w:id="7" w:name="_Hlk31294769"/>
      <w:r w:rsidRPr="00877F18">
        <w:rPr>
          <w:szCs w:val="26"/>
        </w:rPr>
        <w:t xml:space="preserve">Mountain Valley’s proposal to charge an initial retainage factor to recover </w:t>
      </w:r>
      <w:r>
        <w:rPr>
          <w:szCs w:val="26"/>
        </w:rPr>
        <w:t xml:space="preserve">lost and unaccounted for </w:t>
      </w:r>
      <w:r w:rsidRPr="00070936">
        <w:rPr>
          <w:szCs w:val="26"/>
        </w:rPr>
        <w:t>gas</w:t>
      </w:r>
      <w:r w:rsidRPr="00877F18">
        <w:rPr>
          <w:szCs w:val="26"/>
        </w:rPr>
        <w:t xml:space="preserve"> costs associated with the Southgate System is approved.</w:t>
      </w:r>
    </w:p>
    <w:p w14:paraId="7AD08DCE" w14:textId="77777777" w:rsidR="006908C6" w:rsidRPr="006908C6" w:rsidRDefault="006908C6" w:rsidP="006908C6">
      <w:pPr>
        <w:pStyle w:val="ListParagraph"/>
        <w:rPr>
          <w:szCs w:val="26"/>
        </w:rPr>
      </w:pPr>
    </w:p>
    <w:p w14:paraId="04F951EE" w14:textId="5DE85B1D" w:rsidR="00852395" w:rsidRDefault="006908C6" w:rsidP="00852395">
      <w:pPr>
        <w:pStyle w:val="FERCparanumber"/>
        <w:numPr>
          <w:ilvl w:val="0"/>
          <w:numId w:val="23"/>
        </w:numPr>
      </w:pPr>
      <w:r>
        <w:t>Mountain Valley shall notify the Commission’</w:t>
      </w:r>
      <w:r w:rsidRPr="00C64278">
        <w:t>s environmental staff by telephone</w:t>
      </w:r>
      <w:r>
        <w:t xml:space="preserve"> or e-mail</w:t>
      </w:r>
      <w:r w:rsidRPr="00C64278">
        <w:t xml:space="preserve"> of any environmental noncompliance identified by other </w:t>
      </w:r>
      <w:r>
        <w:t>federal</w:t>
      </w:r>
      <w:r w:rsidRPr="00C64278">
        <w:t>, state, or local agencies on the same day that such agency notifies</w:t>
      </w:r>
      <w:r>
        <w:t xml:space="preserve"> Mountain Valley</w:t>
      </w:r>
      <w:r w:rsidRPr="00C64278">
        <w:t xml:space="preserve">.  </w:t>
      </w:r>
      <w:r>
        <w:t>Mountain Valley</w:t>
      </w:r>
      <w:r w:rsidRPr="00C64278">
        <w:t xml:space="preserve"> shall file written confirmation of such notification with the Secretary of the Commission within 24 hours.</w:t>
      </w:r>
      <w:bookmarkEnd w:id="7"/>
    </w:p>
    <w:p w14:paraId="602FF2CD" w14:textId="77777777" w:rsidR="0054273B" w:rsidRDefault="0054273B" w:rsidP="0054273B">
      <w:pPr>
        <w:pStyle w:val="ListParagraph"/>
      </w:pPr>
    </w:p>
    <w:p w14:paraId="5E50E361" w14:textId="77777777" w:rsidR="0054273B" w:rsidRDefault="0054273B" w:rsidP="0054273B">
      <w:pPr>
        <w:pStyle w:val="FERCparanumber"/>
        <w:numPr>
          <w:ilvl w:val="0"/>
          <w:numId w:val="0"/>
        </w:numPr>
      </w:pPr>
    </w:p>
    <w:p w14:paraId="027EF587" w14:textId="77777777" w:rsidR="0054273B" w:rsidRDefault="0054273B" w:rsidP="0054273B">
      <w:pPr>
        <w:pStyle w:val="FERCparanumber"/>
        <w:numPr>
          <w:ilvl w:val="0"/>
          <w:numId w:val="0"/>
        </w:numPr>
      </w:pPr>
    </w:p>
    <w:p w14:paraId="5D258F5A" w14:textId="75F7A92C" w:rsidR="00852395" w:rsidRPr="00CD0B38" w:rsidRDefault="00852395" w:rsidP="00BE1446">
      <w:pPr>
        <w:pStyle w:val="FERCparanumber"/>
        <w:numPr>
          <w:ilvl w:val="0"/>
          <w:numId w:val="23"/>
        </w:numPr>
      </w:pPr>
      <w:r>
        <w:lastRenderedPageBreak/>
        <w:t xml:space="preserve">The November 21, 2025 </w:t>
      </w:r>
      <w:r w:rsidR="008838CE">
        <w:t xml:space="preserve">and December 16, 2025 </w:t>
      </w:r>
      <w:r>
        <w:t>motion</w:t>
      </w:r>
      <w:r w:rsidR="008838CE">
        <w:t>s</w:t>
      </w:r>
      <w:r>
        <w:t xml:space="preserve"> to lodge </w:t>
      </w:r>
      <w:r w:rsidR="008838CE">
        <w:t>are</w:t>
      </w:r>
      <w:r>
        <w:t xml:space="preserve"> denied, and the November 21, 2025 protest is rejected, as described in the body of this order. </w:t>
      </w:r>
    </w:p>
    <w:p w14:paraId="0415285C" w14:textId="77777777" w:rsidR="002D1C68" w:rsidRDefault="002D1C68">
      <w:r w:rsidRPr="00CD0B38">
        <w:t>By the Commission.</w:t>
      </w:r>
    </w:p>
    <w:p w14:paraId="795C99AB" w14:textId="77777777" w:rsidR="001030FB" w:rsidRDefault="001030FB"/>
    <w:p w14:paraId="3F57DCA1" w14:textId="4C4085F9" w:rsidR="001030FB" w:rsidRDefault="001030FB" w:rsidP="001030FB">
      <w:pPr>
        <w:widowControl/>
      </w:pPr>
      <w:r w:rsidRPr="001030FB">
        <w:t>( S E A L )</w:t>
      </w:r>
    </w:p>
    <w:p w14:paraId="70F44BBC" w14:textId="77777777" w:rsidR="001030FB" w:rsidRDefault="001030FB" w:rsidP="001030FB">
      <w:pPr>
        <w:widowControl/>
      </w:pPr>
    </w:p>
    <w:p w14:paraId="1C6975BE" w14:textId="77777777" w:rsidR="0054273B" w:rsidRDefault="0054273B" w:rsidP="001030FB">
      <w:pPr>
        <w:widowControl/>
      </w:pPr>
    </w:p>
    <w:p w14:paraId="0C8A274A" w14:textId="77777777" w:rsidR="0054273B" w:rsidRDefault="0054273B" w:rsidP="001030FB">
      <w:pPr>
        <w:widowControl/>
      </w:pPr>
    </w:p>
    <w:p w14:paraId="4FCEF3AC" w14:textId="77777777" w:rsidR="001030FB" w:rsidRDefault="001030FB" w:rsidP="001030FB">
      <w:pPr>
        <w:widowControl/>
      </w:pPr>
    </w:p>
    <w:p w14:paraId="7708019F" w14:textId="28033C1C" w:rsidR="001030FB" w:rsidRPr="001030FB" w:rsidRDefault="001030FB" w:rsidP="001030FB">
      <w:pPr>
        <w:widowControl/>
        <w:ind w:firstLine="2174"/>
        <w:jc w:val="center"/>
      </w:pPr>
      <w:r w:rsidRPr="001030FB">
        <w:t>Carlos D. Clay,</w:t>
      </w:r>
    </w:p>
    <w:p w14:paraId="1D4281D4" w14:textId="1F25D730" w:rsidR="001030FB" w:rsidRPr="001030FB" w:rsidRDefault="001030FB" w:rsidP="001030FB">
      <w:pPr>
        <w:widowControl/>
        <w:ind w:firstLine="2174"/>
        <w:jc w:val="center"/>
      </w:pPr>
      <w:r w:rsidRPr="001030FB">
        <w:t>Deputy Secretary.</w:t>
      </w:r>
    </w:p>
    <w:p w14:paraId="25F5A0CF" w14:textId="2DFEA667" w:rsidR="009978A1" w:rsidRDefault="009978A1" w:rsidP="001030FB">
      <w:pPr>
        <w:widowControl/>
      </w:pPr>
      <w:r>
        <w:br w:type="page"/>
      </w:r>
    </w:p>
    <w:p w14:paraId="5D6618FA" w14:textId="77777777" w:rsidR="002D1C68" w:rsidRPr="00401A63" w:rsidRDefault="002D1C68" w:rsidP="00401A63"/>
    <w:p w14:paraId="7BB53522" w14:textId="77777777" w:rsidR="00FA28D1" w:rsidRPr="00FA28D1" w:rsidRDefault="00FA28D1" w:rsidP="00FA28D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center"/>
        <w:rPr>
          <w:rFonts w:eastAsia="Times New Roman"/>
          <w:b/>
          <w:szCs w:val="26"/>
          <w:u w:val="single"/>
        </w:rPr>
      </w:pPr>
      <w:r w:rsidRPr="00FA28D1">
        <w:rPr>
          <w:rFonts w:eastAsia="Times New Roman"/>
          <w:b/>
          <w:szCs w:val="26"/>
          <w:u w:val="single"/>
        </w:rPr>
        <w:t>Appendix</w:t>
      </w:r>
    </w:p>
    <w:p w14:paraId="71C45FEC" w14:textId="77777777" w:rsidR="00FA28D1" w:rsidRPr="00FA28D1" w:rsidDel="000C2A37" w:rsidRDefault="00FA28D1" w:rsidP="00FA28D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center"/>
        <w:rPr>
          <w:rFonts w:eastAsia="Times New Roman"/>
          <w:b/>
          <w:szCs w:val="26"/>
          <w:u w:val="single"/>
        </w:rPr>
      </w:pPr>
      <w:r w:rsidRPr="00FA28D1" w:rsidDel="000C2A37">
        <w:rPr>
          <w:rFonts w:eastAsia="Times New Roman"/>
          <w:b/>
          <w:szCs w:val="26"/>
          <w:u w:val="single"/>
        </w:rPr>
        <w:t>Environmental Conditions</w:t>
      </w:r>
    </w:p>
    <w:p w14:paraId="15A0C345" w14:textId="77777777" w:rsidR="00FA28D1" w:rsidRPr="00FA28D1" w:rsidDel="000C2A37" w:rsidRDefault="00FA28D1" w:rsidP="00FA28D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eastAsia="Times New Roman"/>
          <w:szCs w:val="26"/>
        </w:rPr>
      </w:pPr>
    </w:p>
    <w:p w14:paraId="536FDC25" w14:textId="5DCBECD3" w:rsidR="00FA28D1" w:rsidRPr="00FA28D1" w:rsidDel="000C2A37" w:rsidRDefault="00FA28D1" w:rsidP="00FA28D1">
      <w:pPr>
        <w:widowControl/>
        <w:spacing w:after="260"/>
      </w:pPr>
      <w:r w:rsidRPr="00FA28D1" w:rsidDel="000C2A37">
        <w:t>As recommended in the Environmental Assessment (EA), this authorization includes the following conditions:</w:t>
      </w:r>
    </w:p>
    <w:p w14:paraId="055D6C7C" w14:textId="77777777" w:rsidR="00FA28D1" w:rsidRPr="00FA28D1" w:rsidDel="000C2A37" w:rsidRDefault="00FA28D1" w:rsidP="00FA28D1">
      <w:pPr>
        <w:widowControl/>
        <w:numPr>
          <w:ilvl w:val="0"/>
          <w:numId w:val="31"/>
        </w:numPr>
        <w:spacing w:after="260"/>
        <w:ind w:left="720" w:hanging="720"/>
        <w:contextualSpacing/>
      </w:pPr>
      <w:r w:rsidRPr="00FA28D1" w:rsidDel="000C2A37">
        <w:t>Mountain Valley shall follow the construction procedures and mitigation measures described in its amendment application and supplements (including responses to staff data requests) and as identified in the EA, unless modified by the Order.  Mountain Valley must:</w:t>
      </w:r>
    </w:p>
    <w:p w14:paraId="6C1779E1" w14:textId="0C833566" w:rsidR="00FA28D1" w:rsidRPr="00FA28D1" w:rsidDel="000C2A37" w:rsidRDefault="00FA28D1" w:rsidP="0004776C">
      <w:pPr>
        <w:pStyle w:val="ListParagraph"/>
        <w:widowControl/>
        <w:numPr>
          <w:ilvl w:val="0"/>
          <w:numId w:val="30"/>
        </w:numPr>
      </w:pPr>
      <w:r w:rsidRPr="00FA28D1" w:rsidDel="000C2A37">
        <w:t xml:space="preserve">request any modification to these procedures, measures, or conditions in a filing with the </w:t>
      </w:r>
      <w:r w:rsidRPr="00406EAF">
        <w:rPr>
          <w:rFonts w:eastAsia="Times New Roman"/>
          <w:szCs w:val="26"/>
        </w:rPr>
        <w:t>Secretary of the Commission (</w:t>
      </w:r>
      <w:r w:rsidRPr="00FA28D1">
        <w:t>Secretary</w:t>
      </w:r>
      <w:r w:rsidRPr="00406EAF">
        <w:rPr>
          <w:rFonts w:eastAsia="Times New Roman"/>
          <w:szCs w:val="26"/>
        </w:rPr>
        <w:t>);</w:t>
      </w:r>
    </w:p>
    <w:p w14:paraId="5BABACB7" w14:textId="77777777" w:rsidR="00FA28D1" w:rsidRPr="00FA28D1" w:rsidDel="000C2A37" w:rsidRDefault="00FA28D1" w:rsidP="0004776C">
      <w:pPr>
        <w:widowControl/>
        <w:numPr>
          <w:ilvl w:val="0"/>
          <w:numId w:val="30"/>
        </w:numPr>
        <w:rPr>
          <w:rFonts w:eastAsia="Times New Roman"/>
          <w:szCs w:val="20"/>
        </w:rPr>
      </w:pPr>
      <w:r w:rsidRPr="00FA28D1" w:rsidDel="000C2A37">
        <w:rPr>
          <w:rFonts w:eastAsia="Times New Roman"/>
          <w:szCs w:val="20"/>
        </w:rPr>
        <w:t>justify each modification relative to site-specific conditions;</w:t>
      </w:r>
    </w:p>
    <w:p w14:paraId="640DCB9C" w14:textId="77777777" w:rsidR="00FA28D1" w:rsidRPr="00FA28D1" w:rsidDel="000C2A37" w:rsidRDefault="00FA28D1" w:rsidP="0004776C">
      <w:pPr>
        <w:widowControl/>
        <w:numPr>
          <w:ilvl w:val="0"/>
          <w:numId w:val="30"/>
        </w:numPr>
        <w:tabs>
          <w:tab w:val="left" w:pos="1440"/>
        </w:tabs>
        <w:rPr>
          <w:rFonts w:eastAsia="Times New Roman"/>
          <w:szCs w:val="20"/>
        </w:rPr>
      </w:pPr>
      <w:r w:rsidRPr="00FA28D1" w:rsidDel="000C2A37">
        <w:rPr>
          <w:rFonts w:eastAsia="Times New Roman"/>
          <w:szCs w:val="20"/>
        </w:rPr>
        <w:t>explain how that modification provides an equal or greater level of environmental protection than the original measure; and</w:t>
      </w:r>
    </w:p>
    <w:p w14:paraId="0049056E" w14:textId="77777777" w:rsidR="00FA28D1" w:rsidRPr="00FA28D1" w:rsidDel="000C2A37" w:rsidRDefault="00FA28D1" w:rsidP="0004776C">
      <w:pPr>
        <w:widowControl/>
        <w:numPr>
          <w:ilvl w:val="0"/>
          <w:numId w:val="30"/>
        </w:numPr>
        <w:spacing w:after="260"/>
        <w:rPr>
          <w:rFonts w:eastAsia="Times New Roman"/>
          <w:szCs w:val="20"/>
        </w:rPr>
      </w:pPr>
      <w:r w:rsidRPr="00FA28D1" w:rsidDel="000C2A37">
        <w:rPr>
          <w:rFonts w:eastAsia="Times New Roman"/>
          <w:szCs w:val="20"/>
        </w:rPr>
        <w:t>receive approval in writing from the Director of Office of Energy Projects (OEP),</w:t>
      </w:r>
      <w:r w:rsidRPr="00FA28D1" w:rsidDel="000C2A37">
        <w:rPr>
          <w:rFonts w:ascii="CG Times" w:eastAsia="Times New Roman" w:hAnsi="CG Times"/>
          <w:szCs w:val="26"/>
        </w:rPr>
        <w:t xml:space="preserve"> </w:t>
      </w:r>
      <w:r w:rsidRPr="00FA28D1" w:rsidDel="000C2A37">
        <w:rPr>
          <w:rFonts w:eastAsia="Times New Roman"/>
          <w:szCs w:val="20"/>
        </w:rPr>
        <w:t xml:space="preserve">or the Director’s designee, </w:t>
      </w:r>
      <w:r w:rsidRPr="00FA28D1" w:rsidDel="000C2A37">
        <w:rPr>
          <w:rFonts w:eastAsia="Times New Roman"/>
          <w:b/>
          <w:szCs w:val="26"/>
        </w:rPr>
        <w:t>before using that modification</w:t>
      </w:r>
      <w:r w:rsidRPr="00FA28D1" w:rsidDel="000C2A37">
        <w:rPr>
          <w:rFonts w:eastAsia="Times New Roman"/>
          <w:szCs w:val="20"/>
        </w:rPr>
        <w:t>.</w:t>
      </w:r>
    </w:p>
    <w:p w14:paraId="0C61F3B4" w14:textId="77777777" w:rsidR="00FA28D1" w:rsidRPr="00FA28D1" w:rsidDel="000C2A37" w:rsidRDefault="00FA28D1" w:rsidP="00FA28D1">
      <w:pPr>
        <w:widowControl/>
        <w:numPr>
          <w:ilvl w:val="0"/>
          <w:numId w:val="31"/>
        </w:numPr>
        <w:spacing w:after="260"/>
        <w:ind w:left="720" w:hanging="720"/>
        <w:contextualSpacing/>
        <w:rPr>
          <w:szCs w:val="26"/>
        </w:rPr>
      </w:pPr>
      <w:r w:rsidRPr="00FA28D1" w:rsidDel="000C2A37">
        <w:rPr>
          <w:szCs w:val="26"/>
        </w:rPr>
        <w:t>The Director of OEP, or the Director’s designee, has delegated authority to address any requests for approvals or authorizations necessary to carry out the conditions of the Order, and take whatever steps are necessary to ensure the protection of environmental resources during construction of the Amendment Project.  This authority shall allow:</w:t>
      </w:r>
    </w:p>
    <w:p w14:paraId="24CEF059" w14:textId="393D5C8B" w:rsidR="00FA28D1" w:rsidRPr="00FA28D1" w:rsidDel="000C2A37" w:rsidRDefault="00FA28D1" w:rsidP="0004776C">
      <w:pPr>
        <w:pStyle w:val="ListParagraph"/>
        <w:widowControl/>
        <w:numPr>
          <w:ilvl w:val="0"/>
          <w:numId w:val="29"/>
        </w:numPr>
        <w:ind w:left="1080"/>
      </w:pPr>
      <w:r w:rsidRPr="00FA28D1" w:rsidDel="000C2A37">
        <w:t xml:space="preserve">the modification of conditions of the Order; </w:t>
      </w:r>
    </w:p>
    <w:p w14:paraId="31E751C7" w14:textId="77777777" w:rsidR="00FA28D1" w:rsidRPr="00FA28D1" w:rsidDel="000C2A37" w:rsidRDefault="00FA28D1" w:rsidP="0004776C">
      <w:pPr>
        <w:widowControl/>
        <w:numPr>
          <w:ilvl w:val="0"/>
          <w:numId w:val="29"/>
        </w:numPr>
        <w:ind w:left="1080"/>
      </w:pPr>
      <w:r w:rsidRPr="00FA28D1" w:rsidDel="000C2A37">
        <w:t>stop-work authority; and</w:t>
      </w:r>
    </w:p>
    <w:p w14:paraId="12390684" w14:textId="77777777" w:rsidR="00FA28D1" w:rsidRPr="00FA28D1" w:rsidDel="000C2A37" w:rsidRDefault="00FA28D1" w:rsidP="0004776C">
      <w:pPr>
        <w:widowControl/>
        <w:numPr>
          <w:ilvl w:val="0"/>
          <w:numId w:val="29"/>
        </w:numPr>
        <w:spacing w:after="260"/>
        <w:ind w:left="1080"/>
      </w:pPr>
      <w:r w:rsidRPr="00FA28D1" w:rsidDel="000C2A37">
        <w:t>the imposition of any additional measures deemed necessary to ensure continued compliance with the intent of the conditions of the Order as well as the avoidance or mitigation of unforeseen adverse environmental effects resulting from Amendment Project construction and operation.</w:t>
      </w:r>
    </w:p>
    <w:p w14:paraId="30BBAF2A" w14:textId="648D412D" w:rsidR="00FA28D1" w:rsidRPr="00FA28D1" w:rsidRDefault="00FA28D1" w:rsidP="00FA28D1">
      <w:pPr>
        <w:widowControl/>
        <w:numPr>
          <w:ilvl w:val="0"/>
          <w:numId w:val="31"/>
        </w:numPr>
        <w:spacing w:after="260"/>
        <w:ind w:left="720" w:hanging="720"/>
        <w:contextualSpacing/>
        <w:rPr>
          <w:b/>
          <w:bCs/>
        </w:rPr>
      </w:pPr>
      <w:r w:rsidRPr="00FA28D1" w:rsidDel="000C2A37">
        <w:t xml:space="preserve">The authorized facility locations shall be as shown in the EA, as supplemented by filed alignment sheets.  </w:t>
      </w:r>
      <w:r w:rsidRPr="00FA28D1" w:rsidDel="000C2A37">
        <w:rPr>
          <w:b/>
          <w:bCs/>
        </w:rPr>
        <w:t>As soon as they are available, and before the start of construction</w:t>
      </w:r>
      <w:r w:rsidRPr="00FA28D1" w:rsidDel="000C2A37">
        <w:t>, Mountain Valley shall file with the Secretary any revised detailed survey alignment maps/sheets at a scale not smaller than 1:6,000 with station positions for all facilities approved by the Order.  All requests for modifications of environmental conditions of the Order or site-specific clearances must be written and must reference locations designated on these alignment maps/sheets.</w:t>
      </w:r>
      <w:r w:rsidRPr="00FA28D1">
        <w:t xml:space="preserve"> </w:t>
      </w:r>
      <w:r w:rsidRPr="00FA28D1" w:rsidDel="000C2A37">
        <w:t xml:space="preserve">Mountain Valley’s exercise of eminent domain authority granted under Natural Gas Act (NGA) section 7(h) in any condemnation proceedings related to the Order must be consistent with these authorized facilities and locations.  Mountain </w:t>
      </w:r>
      <w:r w:rsidRPr="00FA28D1" w:rsidDel="000C2A37">
        <w:lastRenderedPageBreak/>
        <w:t>Valley’s right of eminent domain granted under NGA section 7(h) does not authorize it to increase the size of its natural gas pipeline or facilities to accommodate future needs or to acquire a right-of-way for a pipeline to transport a commodity other than natural gas.</w:t>
      </w:r>
    </w:p>
    <w:p w14:paraId="2B3B98BE" w14:textId="77777777" w:rsidR="00FA28D1" w:rsidRPr="00FA28D1" w:rsidRDefault="00FA28D1" w:rsidP="00FA28D1">
      <w:pPr>
        <w:spacing w:after="260"/>
        <w:ind w:left="360"/>
        <w:contextualSpacing/>
        <w:rPr>
          <w:b/>
          <w:bCs/>
        </w:rPr>
      </w:pPr>
    </w:p>
    <w:p w14:paraId="285F6EE1" w14:textId="77777777" w:rsidR="00FA28D1" w:rsidRPr="00172A2A" w:rsidRDefault="00FA28D1" w:rsidP="00FA28D1">
      <w:pPr>
        <w:widowControl/>
        <w:numPr>
          <w:ilvl w:val="0"/>
          <w:numId w:val="31"/>
        </w:numPr>
        <w:spacing w:after="260"/>
        <w:ind w:left="720" w:hanging="720"/>
        <w:contextualSpacing/>
        <w:rPr>
          <w:b/>
        </w:rPr>
      </w:pPr>
      <w:r w:rsidRPr="00FA28D1" w:rsidDel="000C2A37">
        <w:rPr>
          <w:b/>
          <w:bCs/>
        </w:rPr>
        <w:t>Within 5 days of receipt of a water quality certification issued by the Virginia Department of Environmental Quality (VADEQ) and the North Carolina Department of Environmental Quality (NCDEQ)</w:t>
      </w:r>
      <w:r w:rsidRPr="00FA28D1" w:rsidDel="000C2A37">
        <w:t xml:space="preserve">, Mountain Valley shall file the complete certification, including all conditions.  All conditions attached to the water quality certification constitute mandatory conditions of the Certificate Order.  </w:t>
      </w:r>
      <w:r w:rsidRPr="00FA28D1" w:rsidDel="000C2A37">
        <w:rPr>
          <w:b/>
          <w:bCs/>
        </w:rPr>
        <w:t>Prior to construction</w:t>
      </w:r>
      <w:r w:rsidRPr="00FA28D1" w:rsidDel="000C2A37">
        <w:t>, Mountain Valley shall file, for review and written approval of the Director of OEP, or the Director’s designee, any revisions to its project design necessary to comply with the water quality certification conditions.</w:t>
      </w:r>
    </w:p>
    <w:p w14:paraId="1F44F660" w14:textId="77777777" w:rsidR="00B76BE3" w:rsidRPr="00FA28D1" w:rsidDel="000C2A37" w:rsidRDefault="00B76BE3" w:rsidP="0004776C">
      <w:pPr>
        <w:widowControl/>
        <w:spacing w:after="260"/>
        <w:contextualSpacing/>
        <w:rPr>
          <w:b/>
          <w:bCs/>
        </w:rPr>
      </w:pPr>
    </w:p>
    <w:p w14:paraId="702D7242" w14:textId="77777777" w:rsidR="00FA28D1" w:rsidRPr="00FA28D1" w:rsidDel="000C2A37" w:rsidRDefault="00FA28D1" w:rsidP="00FA28D1">
      <w:pPr>
        <w:widowControl/>
        <w:numPr>
          <w:ilvl w:val="0"/>
          <w:numId w:val="31"/>
        </w:numPr>
        <w:spacing w:after="260"/>
        <w:ind w:left="720" w:hanging="720"/>
      </w:pPr>
      <w:r w:rsidRPr="00FA28D1" w:rsidDel="000C2A37">
        <w:t>Mountain Valley shall comply with all applicable environmental conditions in the Appendix of the Commission’s June 18, 2020, Order for the Southgate Project in Docket No. CP19-14-000.</w:t>
      </w:r>
    </w:p>
    <w:p w14:paraId="1A853F3C" w14:textId="77777777" w:rsidR="00FA28D1" w:rsidRPr="00FA28D1" w:rsidDel="000C2A37" w:rsidRDefault="00FA28D1" w:rsidP="00FA28D1">
      <w:pPr>
        <w:widowControl/>
        <w:numPr>
          <w:ilvl w:val="0"/>
          <w:numId w:val="31"/>
        </w:numPr>
        <w:spacing w:after="260"/>
        <w:ind w:left="720" w:hanging="720"/>
      </w:pPr>
      <w:r w:rsidRPr="00FA28D1" w:rsidDel="000C2A37">
        <w:rPr>
          <w:b/>
          <w:bCs/>
        </w:rPr>
        <w:t>Prior to construction</w:t>
      </w:r>
      <w:r w:rsidRPr="00FA28D1" w:rsidDel="000C2A37">
        <w:t>, Mountain Valley shall file with the Secretary, for review and written approval by the Director of OEP, or the Director’s designee, its updated Erosion and Sediment Control (E&amp;SC) Plan.</w:t>
      </w:r>
    </w:p>
    <w:p w14:paraId="04D7963A" w14:textId="77777777" w:rsidR="00FA28D1" w:rsidRPr="00FA28D1" w:rsidDel="000C2A37" w:rsidRDefault="00FA28D1" w:rsidP="00FA28D1">
      <w:pPr>
        <w:widowControl/>
        <w:numPr>
          <w:ilvl w:val="0"/>
          <w:numId w:val="31"/>
        </w:numPr>
        <w:spacing w:after="260"/>
        <w:ind w:left="720" w:hanging="720"/>
      </w:pPr>
      <w:r w:rsidRPr="00FA28D1" w:rsidDel="000C2A37">
        <w:rPr>
          <w:b/>
          <w:bCs/>
        </w:rPr>
        <w:t>Prior to construction</w:t>
      </w:r>
      <w:r w:rsidRPr="00FA28D1" w:rsidDel="000C2A37">
        <w:t xml:space="preserve">, Mountain Valley shall file with the Secretary, correspondence from the applicable state agencies regarding whether they approve the installation of slope breakers across the full width of the construction right-of-way.  </w:t>
      </w:r>
    </w:p>
    <w:p w14:paraId="5DAACFBD" w14:textId="77777777" w:rsidR="00FA28D1" w:rsidRPr="00FA28D1" w:rsidDel="000C2A37" w:rsidRDefault="00FA28D1" w:rsidP="00FA28D1">
      <w:pPr>
        <w:widowControl/>
        <w:numPr>
          <w:ilvl w:val="0"/>
          <w:numId w:val="31"/>
        </w:numPr>
        <w:spacing w:after="260"/>
        <w:ind w:left="720" w:hanging="720"/>
      </w:pPr>
      <w:r w:rsidRPr="00FA28D1" w:rsidDel="000C2A37">
        <w:rPr>
          <w:b/>
          <w:bCs/>
        </w:rPr>
        <w:t>Prior to construction</w:t>
      </w:r>
      <w:r w:rsidRPr="00FA28D1" w:rsidDel="000C2A37">
        <w:t xml:space="preserve">, Mountain Valley shall file with the Secretary, for review and written approval by the Director of OEP, or the Director’s designee, an updated </w:t>
      </w:r>
      <w:r w:rsidRPr="00FA28D1" w:rsidDel="000C2A37">
        <w:rPr>
          <w:i/>
          <w:iCs/>
        </w:rPr>
        <w:t>Mountain Valley Southgate Pipeline Stream Burial Recommendations</w:t>
      </w:r>
      <w:r w:rsidRPr="00FA28D1" w:rsidDel="000C2A37">
        <w:t>.  The revised document shall resolve all discrepancies with the waterbody crossing table, utilize Mountain Valley’s waterbody identifications (IDs), and clarify whether Mountain Valley would implement Geosyntec’s recommendations.</w:t>
      </w:r>
    </w:p>
    <w:p w14:paraId="7CF066FD" w14:textId="77777777" w:rsidR="00FA28D1" w:rsidRPr="00FA28D1" w:rsidDel="000C2A37" w:rsidRDefault="00FA28D1" w:rsidP="00FA28D1">
      <w:pPr>
        <w:widowControl/>
        <w:numPr>
          <w:ilvl w:val="0"/>
          <w:numId w:val="31"/>
        </w:numPr>
        <w:spacing w:after="260"/>
        <w:ind w:left="720" w:hanging="720"/>
      </w:pPr>
      <w:r w:rsidRPr="00FA28D1" w:rsidDel="000C2A37">
        <w:rPr>
          <w:b/>
          <w:bCs/>
        </w:rPr>
        <w:t>Prior to construction</w:t>
      </w:r>
      <w:r w:rsidRPr="00FA28D1" w:rsidDel="000C2A37">
        <w:t>, Mountain Valley shall file with the Secretary, for review and written approval by the Director of OEP, or the Director’s designee, mitigation measures to reduce nighttime noise levels at all 24-hour conventional bores to less than 48.6 dBA equivalent sound level (Leq).  Mountain Valley shall also revise its Nighttime Construction Noise Mitigation Plan to include all 24-hour conventional bore locations.</w:t>
      </w:r>
    </w:p>
    <w:p w14:paraId="2DABF63E" w14:textId="77777777" w:rsidR="00FA28D1" w:rsidRPr="00FA28D1" w:rsidRDefault="00FA28D1" w:rsidP="00FA28D1">
      <w:pPr>
        <w:widowControl/>
        <w:numPr>
          <w:ilvl w:val="0"/>
          <w:numId w:val="31"/>
        </w:numPr>
        <w:spacing w:after="260"/>
        <w:ind w:left="720" w:hanging="720"/>
      </w:pPr>
      <w:r w:rsidRPr="00FA28D1" w:rsidDel="000C2A37">
        <w:t xml:space="preserve">Mountain Valley shall file a noise survey with the Secretary </w:t>
      </w:r>
      <w:r w:rsidRPr="00FA28D1" w:rsidDel="000C2A37">
        <w:rPr>
          <w:b/>
          <w:bCs/>
        </w:rPr>
        <w:t>no later than 60 days</w:t>
      </w:r>
      <w:r w:rsidRPr="00FA28D1" w:rsidDel="000C2A37">
        <w:t xml:space="preserve"> after placing the Dan River Interconnect #1 and the Dan River Interconnect #2 </w:t>
      </w:r>
      <w:r w:rsidRPr="00FA28D1" w:rsidDel="000C2A37">
        <w:lastRenderedPageBreak/>
        <w:t xml:space="preserve">into service.  If a full flow rate noise survey at the station’s maximum design capacity is not possible, Mountain Valley shall provide an interim survey at the maximum possible flow rate and provide the full flow rate survey </w:t>
      </w:r>
      <w:r w:rsidRPr="00FA28D1" w:rsidDel="000C2A37">
        <w:rPr>
          <w:b/>
          <w:bCs/>
        </w:rPr>
        <w:t>within 6 months</w:t>
      </w:r>
      <w:r w:rsidRPr="00FA28D1" w:rsidDel="000C2A37">
        <w:t xml:space="preserve">.  If the noise attributable to the operation of the Dan River Interconnects #1 and #2 exceeds a day-night sound level of 55 dBA at any nearby noise sensitive area, Mountain Valley shall file a report on what changes are needed and shall install additional noise controls to meet the level </w:t>
      </w:r>
      <w:r w:rsidRPr="00FA28D1" w:rsidDel="000C2A37">
        <w:rPr>
          <w:b/>
          <w:bCs/>
        </w:rPr>
        <w:t>within 1 year</w:t>
      </w:r>
      <w:r w:rsidRPr="00FA28D1" w:rsidDel="000C2A37">
        <w:t xml:space="preserve"> of the in-service date.  Mountain Valley shall confirm compliance with this requirement by filing a second noise survey with the Secretary </w:t>
      </w:r>
      <w:r w:rsidRPr="00FA28D1" w:rsidDel="000C2A37">
        <w:rPr>
          <w:b/>
          <w:bCs/>
        </w:rPr>
        <w:t>no later than 60 days</w:t>
      </w:r>
      <w:r w:rsidRPr="00FA28D1" w:rsidDel="000C2A37">
        <w:t xml:space="preserve"> after it installs the additional noise controls.</w:t>
      </w:r>
    </w:p>
    <w:p w14:paraId="6E51644B" w14:textId="77777777" w:rsidR="00FF32A1" w:rsidRPr="0003382F" w:rsidRDefault="00FF32A1" w:rsidP="000D7E4E">
      <w:pPr>
        <w:pStyle w:val="FootnoteText"/>
        <w:ind w:firstLine="0"/>
      </w:pPr>
    </w:p>
    <w:sectPr w:rsidR="00FF32A1" w:rsidRPr="0003382F" w:rsidSect="002D1C68">
      <w:headerReference w:type="even" r:id="rId12"/>
      <w:headerReference w:type="default" r:id="rId13"/>
      <w:headerReference w:type="first" r:id="rId14"/>
      <w:pgSz w:w="12240" w:h="15840"/>
      <w:pgMar w:top="1440" w:right="1440" w:bottom="1440" w:left="1440" w:header="720" w:footer="720" w:gutter="0"/>
      <w:pgNumType w:fmt="numberInDash"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642BC" w14:textId="77777777" w:rsidR="004D534B" w:rsidRDefault="004D534B" w:rsidP="0048020B">
      <w:r>
        <w:separator/>
      </w:r>
    </w:p>
  </w:endnote>
  <w:endnote w:type="continuationSeparator" w:id="0">
    <w:p w14:paraId="3A277E2B" w14:textId="77777777" w:rsidR="004D534B" w:rsidRDefault="004D534B" w:rsidP="00480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ource Sans Pro">
    <w:charset w:val="00"/>
    <w:family w:val="swiss"/>
    <w:pitch w:val="variable"/>
    <w:sig w:usb0="600002F7" w:usb1="02000001" w:usb2="00000000" w:usb3="00000000" w:csb0="0000019F" w:csb1="00000000"/>
  </w:font>
  <w:font w:name="CG Times">
    <w:altName w:val="Times New Roman"/>
    <w:charset w:val="EE"/>
    <w:family w:val="roman"/>
    <w:pitch w:val="variable"/>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A24E3" w14:textId="77777777" w:rsidR="004D534B" w:rsidRDefault="004D534B" w:rsidP="0048020B">
      <w:r>
        <w:separator/>
      </w:r>
    </w:p>
  </w:footnote>
  <w:footnote w:type="continuationSeparator" w:id="0">
    <w:p w14:paraId="10C868F7" w14:textId="77777777" w:rsidR="004D534B" w:rsidRDefault="004D534B" w:rsidP="0048020B">
      <w:r>
        <w:continuationSeparator/>
      </w:r>
    </w:p>
  </w:footnote>
  <w:footnote w:type="continuationNotice" w:id="1">
    <w:p w14:paraId="16BACE13" w14:textId="77777777" w:rsidR="004D534B" w:rsidRPr="00BB69A5" w:rsidRDefault="004D534B" w:rsidP="00BB69A5">
      <w:pPr>
        <w:spacing w:line="20" w:lineRule="exact"/>
        <w:rPr>
          <w:sz w:val="2"/>
        </w:rPr>
      </w:pPr>
    </w:p>
  </w:footnote>
  <w:footnote w:id="2">
    <w:p w14:paraId="3C19FE72" w14:textId="77777777" w:rsidR="00B537A9" w:rsidRDefault="00B537A9" w:rsidP="00B537A9">
      <w:pPr>
        <w:pStyle w:val="FootnoteText"/>
      </w:pPr>
      <w:r>
        <w:rPr>
          <w:rStyle w:val="FootnoteReference"/>
        </w:rPr>
        <w:footnoteRef/>
      </w:r>
      <w:r>
        <w:t xml:space="preserve"> </w:t>
      </w:r>
      <w:r w:rsidRPr="004441BA">
        <w:t>15 U.S.C. § 717f(c).</w:t>
      </w:r>
    </w:p>
  </w:footnote>
  <w:footnote w:id="3">
    <w:p w14:paraId="4C433B22" w14:textId="6B9EC632" w:rsidR="00B537A9" w:rsidRDefault="00B537A9" w:rsidP="00B537A9">
      <w:pPr>
        <w:pStyle w:val="FootnoteText"/>
      </w:pPr>
      <w:r>
        <w:rPr>
          <w:rStyle w:val="FootnoteReference"/>
        </w:rPr>
        <w:footnoteRef/>
      </w:r>
      <w:r>
        <w:t xml:space="preserve"> </w:t>
      </w:r>
      <w:r w:rsidRPr="008F5B20">
        <w:t>18 C.F.R. pt. 157 (202</w:t>
      </w:r>
      <w:r w:rsidR="0049526F">
        <w:t>5</w:t>
      </w:r>
      <w:r w:rsidRPr="008F5B20">
        <w:t>).</w:t>
      </w:r>
    </w:p>
  </w:footnote>
  <w:footnote w:id="4">
    <w:p w14:paraId="5C5DE13A" w14:textId="09CF96F3" w:rsidR="00A16FDF" w:rsidRDefault="00A16FDF" w:rsidP="00A16FDF">
      <w:pPr>
        <w:pStyle w:val="FootnoteText"/>
      </w:pPr>
      <w:r>
        <w:rPr>
          <w:rStyle w:val="FootnoteReference"/>
        </w:rPr>
        <w:footnoteRef/>
      </w:r>
      <w:r>
        <w:t xml:space="preserve"> </w:t>
      </w:r>
      <w:r w:rsidRPr="00E41D31">
        <w:rPr>
          <w:i/>
          <w:iCs/>
        </w:rPr>
        <w:t xml:space="preserve">See </w:t>
      </w:r>
      <w:r w:rsidR="006707B2" w:rsidRPr="006707B2">
        <w:rPr>
          <w:i/>
          <w:iCs/>
        </w:rPr>
        <w:t>Mountain Valley Pipeline, LLC</w:t>
      </w:r>
      <w:r w:rsidR="006707B2" w:rsidRPr="006707B2">
        <w:t xml:space="preserve">, 171 FERC ¶ 61,232 </w:t>
      </w:r>
      <w:r w:rsidR="00002B60" w:rsidRPr="006707B2">
        <w:t>(Certificate Order)</w:t>
      </w:r>
      <w:r w:rsidR="006707B2" w:rsidRPr="006707B2">
        <w:t xml:space="preserve">, </w:t>
      </w:r>
      <w:r w:rsidR="006707B2" w:rsidRPr="006707B2">
        <w:rPr>
          <w:i/>
          <w:iCs/>
        </w:rPr>
        <w:t>order on reh’g</w:t>
      </w:r>
      <w:r w:rsidR="006707B2" w:rsidRPr="006707B2">
        <w:t>, 172 FERC ¶ 61,261 (2020)</w:t>
      </w:r>
      <w:r w:rsidR="00E9502A">
        <w:t xml:space="preserve"> (Rehearing Order)</w:t>
      </w:r>
      <w:r w:rsidR="006707B2" w:rsidRPr="006707B2">
        <w:t xml:space="preserve">, </w:t>
      </w:r>
      <w:r w:rsidR="006707B2" w:rsidRPr="006707B2">
        <w:rPr>
          <w:i/>
          <w:iCs/>
        </w:rPr>
        <w:t>aff’d sub. nom.</w:t>
      </w:r>
      <w:r w:rsidR="006707B2" w:rsidRPr="009C583E">
        <w:t>,</w:t>
      </w:r>
      <w:r w:rsidR="006707B2" w:rsidRPr="006707B2">
        <w:rPr>
          <w:i/>
          <w:iCs/>
        </w:rPr>
        <w:t xml:space="preserve"> Sierra Club</w:t>
      </w:r>
      <w:r w:rsidR="00E9502A">
        <w:rPr>
          <w:i/>
          <w:iCs/>
        </w:rPr>
        <w:t xml:space="preserve"> </w:t>
      </w:r>
      <w:r w:rsidR="006707B2" w:rsidRPr="006707B2">
        <w:rPr>
          <w:i/>
          <w:iCs/>
        </w:rPr>
        <w:t>v. FERC</w:t>
      </w:r>
      <w:r w:rsidR="006707B2" w:rsidRPr="006707B2">
        <w:t xml:space="preserve">, 38 F.4th 220 (D.C. Cir. 2022).  </w:t>
      </w:r>
    </w:p>
  </w:footnote>
  <w:footnote w:id="5">
    <w:p w14:paraId="7F3D423B" w14:textId="77777777" w:rsidR="003A1847" w:rsidRDefault="003A1847" w:rsidP="003A1847">
      <w:pPr>
        <w:pStyle w:val="FootnoteText"/>
      </w:pPr>
      <w:r>
        <w:rPr>
          <w:rStyle w:val="FootnoteReference"/>
        </w:rPr>
        <w:footnoteRef/>
      </w:r>
      <w:r>
        <w:t xml:space="preserve"> The previously certificated project consisted of approximately 31 miles of 24</w:t>
      </w:r>
      <w:r>
        <w:noBreakHyphen/>
        <w:t>inch pipeline and 44 miles of 16-inch pipeline.</w:t>
      </w:r>
    </w:p>
  </w:footnote>
  <w:footnote w:id="6">
    <w:p w14:paraId="42CA2A1F" w14:textId="548B6CAF" w:rsidR="006819EE" w:rsidRDefault="006819EE" w:rsidP="006819EE">
      <w:pPr>
        <w:pStyle w:val="FootnoteText"/>
      </w:pPr>
      <w:r>
        <w:rPr>
          <w:rStyle w:val="FootnoteReference"/>
        </w:rPr>
        <w:footnoteRef/>
      </w:r>
      <w:r>
        <w:t xml:space="preserve"> Five companies own Mountain Valley:</w:t>
      </w:r>
      <w:r w:rsidR="00B5409A">
        <w:t xml:space="preserve"> </w:t>
      </w:r>
      <w:r>
        <w:t xml:space="preserve"> EQM Midstream Partners, LP (45.5%); NextEra Energy (31%); Con Edison Transmission, Inc. (12.5%); WGL Midstream (10%); and RGC Midstream, LLC (1%).</w:t>
      </w:r>
    </w:p>
  </w:footnote>
  <w:footnote w:id="7">
    <w:p w14:paraId="46CA2524" w14:textId="77777777" w:rsidR="00D67A69" w:rsidRPr="00B00F3C" w:rsidRDefault="00D67A69" w:rsidP="00D67A69">
      <w:pPr>
        <w:pStyle w:val="FootnoteText"/>
      </w:pPr>
      <w:r w:rsidRPr="00B00F3C">
        <w:rPr>
          <w:rStyle w:val="FootnoteReference"/>
        </w:rPr>
        <w:footnoteRef/>
      </w:r>
      <w:r w:rsidRPr="00B00F3C">
        <w:t xml:space="preserve"> </w:t>
      </w:r>
      <w:r w:rsidRPr="00B00F3C">
        <w:rPr>
          <w:szCs w:val="26"/>
        </w:rPr>
        <w:t>15 U.S.C. §</w:t>
      </w:r>
      <w:r>
        <w:rPr>
          <w:szCs w:val="26"/>
        </w:rPr>
        <w:t> </w:t>
      </w:r>
      <w:r w:rsidRPr="00B00F3C">
        <w:rPr>
          <w:szCs w:val="26"/>
        </w:rPr>
        <w:t>717a(6).</w:t>
      </w:r>
    </w:p>
  </w:footnote>
  <w:footnote w:id="8">
    <w:p w14:paraId="3F3A7E23" w14:textId="3B8384E2" w:rsidR="0055382C" w:rsidRDefault="0055382C">
      <w:pPr>
        <w:pStyle w:val="FootnoteText"/>
      </w:pPr>
      <w:r>
        <w:rPr>
          <w:rStyle w:val="FootnoteReference"/>
        </w:rPr>
        <w:footnoteRef/>
      </w:r>
      <w:r>
        <w:t xml:space="preserve"> </w:t>
      </w:r>
      <w:r w:rsidRPr="0055382C">
        <w:t>Mountain Valley completed construction of its Mainline System in June 2024 and placed it into service on June 14, 2024</w:t>
      </w:r>
      <w:r w:rsidR="005E34D1">
        <w:t>.</w:t>
      </w:r>
    </w:p>
  </w:footnote>
  <w:footnote w:id="9">
    <w:p w14:paraId="518D488E" w14:textId="40D1D74B" w:rsidR="00A05A88" w:rsidRDefault="00A05A88">
      <w:pPr>
        <w:pStyle w:val="FootnoteText"/>
      </w:pPr>
      <w:r>
        <w:rPr>
          <w:rStyle w:val="FootnoteReference"/>
        </w:rPr>
        <w:footnoteRef/>
      </w:r>
      <w:r>
        <w:t xml:space="preserve"> Certificate Order, </w:t>
      </w:r>
      <w:r w:rsidRPr="006707B2">
        <w:t xml:space="preserve">171 FERC ¶ 61,232 </w:t>
      </w:r>
      <w:r>
        <w:t>at PP 11-12.</w:t>
      </w:r>
      <w:r w:rsidR="006A5B63">
        <w:t xml:space="preserve"> </w:t>
      </w:r>
      <w:r>
        <w:t xml:space="preserve"> </w:t>
      </w:r>
      <w:r w:rsidR="005619EA">
        <w:t>Following a January</w:t>
      </w:r>
      <w:r w:rsidR="003545B8">
        <w:t xml:space="preserve"> 2019 merger, Domin</w:t>
      </w:r>
      <w:r w:rsidR="00C1032B">
        <w:t>ion Energy</w:t>
      </w:r>
      <w:r w:rsidR="00D856D4">
        <w:t>, Inc. acquired PSN</w:t>
      </w:r>
      <w:r w:rsidR="00F06768">
        <w:t>C</w:t>
      </w:r>
      <w:r w:rsidR="00D856D4">
        <w:t xml:space="preserve"> and changed the name to </w:t>
      </w:r>
      <w:r w:rsidR="00750039">
        <w:t xml:space="preserve">Dominion Energy North Carolina.  </w:t>
      </w:r>
      <w:r w:rsidR="006A5B63">
        <w:rPr>
          <w:i/>
          <w:iCs/>
        </w:rPr>
        <w:t xml:space="preserve">See id. </w:t>
      </w:r>
      <w:r w:rsidR="006A5B63">
        <w:t xml:space="preserve">n. 16.  </w:t>
      </w:r>
      <w:r w:rsidR="00750039">
        <w:t>The</w:t>
      </w:r>
      <w:r w:rsidR="00D76C81">
        <w:t xml:space="preserve"> Certificate Order referred to the shipper as Dominion.</w:t>
      </w:r>
      <w:r w:rsidR="00791D73">
        <w:t xml:space="preserve">  In October 2024, Dominion sold PSN</w:t>
      </w:r>
      <w:r w:rsidR="00F06768">
        <w:t>C</w:t>
      </w:r>
      <w:r w:rsidR="00B05F9E">
        <w:t xml:space="preserve"> to Enbridge, Inc.</w:t>
      </w:r>
      <w:r w:rsidR="007302BF">
        <w:t xml:space="preserve">  This order refers to the</w:t>
      </w:r>
      <w:r w:rsidR="00B43D92">
        <w:t xml:space="preserve"> shipper as PSN</w:t>
      </w:r>
      <w:r w:rsidR="00F06768">
        <w:t>C</w:t>
      </w:r>
      <w:r w:rsidR="00B43D92">
        <w:t>.</w:t>
      </w:r>
      <w:r w:rsidR="00D76C81">
        <w:t xml:space="preserve">  </w:t>
      </w:r>
      <w:r w:rsidR="00750039">
        <w:t xml:space="preserve"> </w:t>
      </w:r>
    </w:p>
  </w:footnote>
  <w:footnote w:id="10">
    <w:p w14:paraId="74238FD1" w14:textId="77777777" w:rsidR="001715BB" w:rsidRDefault="001715BB" w:rsidP="001715BB">
      <w:pPr>
        <w:pStyle w:val="FootnoteText"/>
      </w:pPr>
      <w:r>
        <w:rPr>
          <w:rStyle w:val="FootnoteReference"/>
        </w:rPr>
        <w:footnoteRef/>
      </w:r>
      <w:r>
        <w:t xml:space="preserve"> A “pig” is a device used to clean or inspect the interior of a pipeline. </w:t>
      </w:r>
    </w:p>
  </w:footnote>
  <w:footnote w:id="11">
    <w:p w14:paraId="612E3EF4" w14:textId="1399A739" w:rsidR="00EF00A5" w:rsidRDefault="00EF00A5">
      <w:pPr>
        <w:pStyle w:val="FootnoteText"/>
      </w:pPr>
      <w:r>
        <w:rPr>
          <w:rStyle w:val="FootnoteReference"/>
        </w:rPr>
        <w:footnoteRef/>
      </w:r>
      <w:r>
        <w:t xml:space="preserve"> </w:t>
      </w:r>
      <w:r w:rsidR="00BF26BB">
        <w:t>With minor deviations, th</w:t>
      </w:r>
      <w:r w:rsidR="008E1B4F">
        <w:t>e</w:t>
      </w:r>
      <w:r w:rsidR="00BF26BB">
        <w:t xml:space="preserve"> pipelin</w:t>
      </w:r>
      <w:r w:rsidR="00B87C6A">
        <w:t xml:space="preserve">e </w:t>
      </w:r>
      <w:r w:rsidR="007677AD">
        <w:t>f</w:t>
      </w:r>
      <w:r w:rsidR="00D269D6">
        <w:t>ollow</w:t>
      </w:r>
      <w:r w:rsidR="007677AD">
        <w:t>s the</w:t>
      </w:r>
      <w:r w:rsidR="00B87C6A">
        <w:t xml:space="preserve"> same</w:t>
      </w:r>
      <w:r w:rsidR="007677AD">
        <w:t xml:space="preserve"> route and is within the </w:t>
      </w:r>
      <w:r w:rsidR="00B87C6A">
        <w:t xml:space="preserve">same footprint as the </w:t>
      </w:r>
      <w:r w:rsidR="008E1B4F">
        <w:t xml:space="preserve">previously </w:t>
      </w:r>
      <w:r w:rsidR="00B87C6A">
        <w:t>certificate</w:t>
      </w:r>
      <w:r w:rsidR="008E1B4F">
        <w:t>d</w:t>
      </w:r>
      <w:r w:rsidR="00B87C6A">
        <w:t xml:space="preserve"> project.</w:t>
      </w:r>
    </w:p>
  </w:footnote>
  <w:footnote w:id="12">
    <w:p w14:paraId="50CDF0F0" w14:textId="627543F8" w:rsidR="00996441" w:rsidRDefault="00996441" w:rsidP="00996441">
      <w:pPr>
        <w:pStyle w:val="FootnoteText"/>
      </w:pPr>
      <w:r>
        <w:rPr>
          <w:rStyle w:val="FootnoteReference"/>
        </w:rPr>
        <w:footnoteRef/>
      </w:r>
      <w:r>
        <w:t xml:space="preserve"> </w:t>
      </w:r>
      <w:r w:rsidR="00F42E8F" w:rsidRPr="00F42E8F">
        <w:t xml:space="preserve">Mountain Valley </w:t>
      </w:r>
      <w:r w:rsidR="000E42CD">
        <w:t>February 3</w:t>
      </w:r>
      <w:r w:rsidR="00F42E8F" w:rsidRPr="00F42E8F">
        <w:t>, 20</w:t>
      </w:r>
      <w:r w:rsidR="00B4164C">
        <w:t>25</w:t>
      </w:r>
      <w:r w:rsidR="00F42E8F" w:rsidRPr="00F42E8F">
        <w:t xml:space="preserve"> Application at </w:t>
      </w:r>
      <w:r w:rsidR="00B4164C">
        <w:t>4</w:t>
      </w:r>
      <w:r w:rsidR="00F42E8F" w:rsidRPr="00F42E8F">
        <w:t xml:space="preserve"> (Application)</w:t>
      </w:r>
      <w:r>
        <w:t>.</w:t>
      </w:r>
    </w:p>
  </w:footnote>
  <w:footnote w:id="13">
    <w:p w14:paraId="47917121" w14:textId="726BCE3F" w:rsidR="00996441" w:rsidRDefault="00996441" w:rsidP="00996441">
      <w:pPr>
        <w:pStyle w:val="FootnoteText"/>
      </w:pPr>
      <w:r>
        <w:rPr>
          <w:rStyle w:val="FootnoteReference"/>
        </w:rPr>
        <w:footnoteRef/>
      </w:r>
      <w:r>
        <w:t xml:space="preserve"> Application at </w:t>
      </w:r>
      <w:r w:rsidR="00DD3371">
        <w:t>4</w:t>
      </w:r>
      <w:r>
        <w:t>.</w:t>
      </w:r>
      <w:r w:rsidR="00D12433">
        <w:t xml:space="preserve">  </w:t>
      </w:r>
    </w:p>
  </w:footnote>
  <w:footnote w:id="14">
    <w:p w14:paraId="31ADC9D8" w14:textId="0FF7E84A" w:rsidR="00996441" w:rsidRDefault="00996441" w:rsidP="00996441">
      <w:pPr>
        <w:pStyle w:val="FootnoteText"/>
      </w:pPr>
      <w:r>
        <w:rPr>
          <w:rStyle w:val="FootnoteReference"/>
        </w:rPr>
        <w:footnoteRef/>
      </w:r>
      <w:r>
        <w:t xml:space="preserve"> </w:t>
      </w:r>
      <w:r w:rsidRPr="006225F3">
        <w:rPr>
          <w:i/>
          <w:iCs/>
        </w:rPr>
        <w:t>Id.</w:t>
      </w:r>
      <w:r w:rsidR="00617545">
        <w:t>,</w:t>
      </w:r>
      <w:r w:rsidR="00D21D92">
        <w:t xml:space="preserve"> </w:t>
      </w:r>
      <w:r w:rsidR="00865B99">
        <w:t>Ex</w:t>
      </w:r>
      <w:r w:rsidR="00D65B0A">
        <w:t>.</w:t>
      </w:r>
      <w:r w:rsidR="00865B99">
        <w:t xml:space="preserve"> K</w:t>
      </w:r>
      <w:r w:rsidR="00D21D92">
        <w:t xml:space="preserve"> at 1</w:t>
      </w:r>
      <w:r>
        <w:t>.</w:t>
      </w:r>
    </w:p>
  </w:footnote>
  <w:footnote w:id="15">
    <w:p w14:paraId="74313B5D" w14:textId="458E8415" w:rsidR="00AA084B" w:rsidRDefault="00AA084B">
      <w:pPr>
        <w:pStyle w:val="FootnoteText"/>
      </w:pPr>
      <w:r>
        <w:rPr>
          <w:rStyle w:val="FootnoteReference"/>
        </w:rPr>
        <w:footnoteRef/>
      </w:r>
      <w:r>
        <w:t xml:space="preserve"> </w:t>
      </w:r>
      <w:r w:rsidRPr="006225F3">
        <w:rPr>
          <w:i/>
          <w:iCs/>
        </w:rPr>
        <w:t>Id.</w:t>
      </w:r>
      <w:r>
        <w:t xml:space="preserve">, </w:t>
      </w:r>
      <w:r w:rsidR="0056346A">
        <w:t>Ex</w:t>
      </w:r>
      <w:r w:rsidR="00D65B0A">
        <w:t>.</w:t>
      </w:r>
      <w:r w:rsidR="0056346A">
        <w:t xml:space="preserve"> K </w:t>
      </w:r>
      <w:r>
        <w:t>at 9.</w:t>
      </w:r>
      <w:r w:rsidR="00F30EB9">
        <w:t xml:space="preserve">  The Certificate Order app</w:t>
      </w:r>
      <w:r w:rsidR="00793FC0">
        <w:t xml:space="preserve">roved Mountain Valley to </w:t>
      </w:r>
      <w:r w:rsidR="00793FC0" w:rsidRPr="00793FC0">
        <w:t>provide Firm (Rate Schedule FTS), Interruptible (Rate Schedule ITS), and Interruptible Parking and Lending (Rate Schedule ILPS) transportation services under a separate rate zone called the Southgate System.</w:t>
      </w:r>
    </w:p>
  </w:footnote>
  <w:footnote w:id="16">
    <w:p w14:paraId="4BDB481D" w14:textId="1957D53E" w:rsidR="003E3332" w:rsidRPr="00563084" w:rsidRDefault="003E3332" w:rsidP="00563084">
      <w:pPr>
        <w:pStyle w:val="FootnoteText"/>
        <w:rPr>
          <w:rFonts w:eastAsia="Times New Roman"/>
          <w:szCs w:val="26"/>
        </w:rPr>
      </w:pPr>
      <w:r w:rsidRPr="00BE7CA5">
        <w:rPr>
          <w:rStyle w:val="FootnoteReference"/>
          <w:rFonts w:eastAsia="Times New Roman"/>
          <w:szCs w:val="26"/>
        </w:rPr>
        <w:footnoteRef/>
      </w:r>
      <w:r w:rsidRPr="00BE7CA5">
        <w:rPr>
          <w:rFonts w:eastAsia="Times New Roman"/>
          <w:szCs w:val="26"/>
        </w:rPr>
        <w:t xml:space="preserve"> 9</w:t>
      </w:r>
      <w:r w:rsidR="000B4439">
        <w:rPr>
          <w:rFonts w:eastAsia="Times New Roman"/>
          <w:szCs w:val="26"/>
        </w:rPr>
        <w:t>0</w:t>
      </w:r>
      <w:r w:rsidRPr="00BE7CA5">
        <w:rPr>
          <w:rFonts w:eastAsia="Times New Roman"/>
          <w:szCs w:val="26"/>
        </w:rPr>
        <w:t xml:space="preserve"> Fed. Reg. </w:t>
      </w:r>
      <w:r w:rsidR="00563084">
        <w:rPr>
          <w:rFonts w:eastAsia="Times New Roman"/>
          <w:szCs w:val="26"/>
        </w:rPr>
        <w:t>10479</w:t>
      </w:r>
      <w:r w:rsidRPr="00BE7CA5">
        <w:rPr>
          <w:rFonts w:eastAsia="Times New Roman"/>
          <w:szCs w:val="26"/>
        </w:rPr>
        <w:t xml:space="preserve"> (</w:t>
      </w:r>
      <w:r w:rsidR="00563084">
        <w:rPr>
          <w:rFonts w:eastAsia="Times New Roman"/>
          <w:szCs w:val="26"/>
        </w:rPr>
        <w:t>Feb. 24</w:t>
      </w:r>
      <w:r w:rsidRPr="00BE7CA5">
        <w:rPr>
          <w:rFonts w:eastAsia="Times New Roman"/>
          <w:szCs w:val="26"/>
        </w:rPr>
        <w:t>, 202</w:t>
      </w:r>
      <w:r w:rsidR="00563084">
        <w:rPr>
          <w:rFonts w:eastAsia="Times New Roman"/>
          <w:szCs w:val="26"/>
        </w:rPr>
        <w:t>5</w:t>
      </w:r>
      <w:r w:rsidRPr="00BE7CA5">
        <w:rPr>
          <w:rFonts w:eastAsia="Times New Roman"/>
          <w:szCs w:val="26"/>
        </w:rPr>
        <w:t xml:space="preserve">). </w:t>
      </w:r>
    </w:p>
  </w:footnote>
  <w:footnote w:id="17">
    <w:p w14:paraId="0DBE9868" w14:textId="60D1FA11" w:rsidR="00D43E1E" w:rsidRDefault="00D43E1E">
      <w:pPr>
        <w:pStyle w:val="FootnoteText"/>
      </w:pPr>
      <w:r>
        <w:rPr>
          <w:rStyle w:val="FootnoteReference"/>
        </w:rPr>
        <w:footnoteRef/>
      </w:r>
      <w:r>
        <w:t xml:space="preserve"> </w:t>
      </w:r>
      <w:r w:rsidR="002B6241">
        <w:t xml:space="preserve">Joint intervention of </w:t>
      </w:r>
      <w:r w:rsidR="002B6241" w:rsidRPr="002B6241">
        <w:t>Southern Alliance for Clean Energy, 7 Directions of Service, Katie Whitehead, and Robert McNutt</w:t>
      </w:r>
      <w:r w:rsidR="002B6241">
        <w:t>.</w:t>
      </w:r>
    </w:p>
  </w:footnote>
  <w:footnote w:id="18">
    <w:p w14:paraId="1E0E3D4C" w14:textId="333E36E0" w:rsidR="00AE2927" w:rsidRDefault="00AE2927">
      <w:pPr>
        <w:pStyle w:val="FootnoteText"/>
      </w:pPr>
      <w:r>
        <w:rPr>
          <w:rStyle w:val="FootnoteReference"/>
        </w:rPr>
        <w:footnoteRef/>
      </w:r>
      <w:r>
        <w:t xml:space="preserve"> Joint intervention of </w:t>
      </w:r>
      <w:r w:rsidRPr="00AE2927">
        <w:t>Appalachian Voices, Blue Ridge Environmental Defense League, Center for Biological Diversity, Chesapeake Climate Action Network, Natural Resources Defense Council, Sierra Club, and Wild Virginia, Inc.</w:t>
      </w:r>
      <w:r w:rsidR="0072310E">
        <w:t xml:space="preserve"> (</w:t>
      </w:r>
      <w:r w:rsidR="00253B93">
        <w:t xml:space="preserve">Appalachian </w:t>
      </w:r>
      <w:r w:rsidR="006A51FF">
        <w:t xml:space="preserve">Mountain </w:t>
      </w:r>
      <w:r w:rsidR="00253B93">
        <w:t>Advocates).</w:t>
      </w:r>
    </w:p>
  </w:footnote>
  <w:footnote w:id="19">
    <w:p w14:paraId="211EC636" w14:textId="5B8EEE8E" w:rsidR="00774CB0" w:rsidRDefault="00774CB0" w:rsidP="00774CB0">
      <w:pPr>
        <w:pStyle w:val="FootnoteText"/>
        <w:rPr>
          <w:rFonts w:eastAsia="Times New Roman"/>
        </w:rPr>
      </w:pPr>
      <w:r w:rsidRPr="00BE7CA5">
        <w:rPr>
          <w:rStyle w:val="FootnoteReference"/>
          <w:rFonts w:eastAsia="Times New Roman"/>
          <w:szCs w:val="26"/>
        </w:rPr>
        <w:footnoteRef/>
      </w:r>
      <w:r w:rsidRPr="00BE7CA5">
        <w:rPr>
          <w:rFonts w:eastAsia="Times New Roman"/>
          <w:szCs w:val="26"/>
        </w:rPr>
        <w:t xml:space="preserve"> Timely, unopposed motions to intervene are granted by operation of Rule 214 of the Commission’s Rules of Practice and Procedure.  18 C.F.R. § 385.214(c)</w:t>
      </w:r>
      <w:r>
        <w:rPr>
          <w:rFonts w:eastAsia="Times New Roman"/>
          <w:szCs w:val="26"/>
        </w:rPr>
        <w:t xml:space="preserve"> (2025)</w:t>
      </w:r>
      <w:r w:rsidRPr="00BE7CA5">
        <w:rPr>
          <w:rFonts w:eastAsia="Times New Roman"/>
          <w:szCs w:val="26"/>
        </w:rPr>
        <w:t xml:space="preserve">.  </w:t>
      </w:r>
      <w:r w:rsidR="004C0A0B" w:rsidRPr="004C0A0B">
        <w:rPr>
          <w:rFonts w:eastAsia="Times New Roman"/>
          <w:szCs w:val="26"/>
        </w:rPr>
        <w:t xml:space="preserve">On </w:t>
      </w:r>
      <w:r w:rsidR="00BC5696">
        <w:rPr>
          <w:rFonts w:eastAsia="Times New Roman"/>
          <w:szCs w:val="26"/>
        </w:rPr>
        <w:t>March 12</w:t>
      </w:r>
      <w:r w:rsidR="004C0A0B" w:rsidRPr="004C0A0B">
        <w:rPr>
          <w:rFonts w:eastAsia="Times New Roman"/>
          <w:szCs w:val="26"/>
        </w:rPr>
        <w:t xml:space="preserve">, 2025, the </w:t>
      </w:r>
      <w:r w:rsidR="000459F2">
        <w:rPr>
          <w:rFonts w:eastAsia="Times New Roman"/>
          <w:szCs w:val="26"/>
        </w:rPr>
        <w:t>Piedmont Natural Gas Company, Inc. and the Terry Family</w:t>
      </w:r>
      <w:r w:rsidR="003C55EE">
        <w:rPr>
          <w:rFonts w:eastAsia="Times New Roman"/>
          <w:szCs w:val="26"/>
        </w:rPr>
        <w:t xml:space="preserve"> </w:t>
      </w:r>
      <w:r w:rsidR="004C0A0B" w:rsidRPr="004C0A0B">
        <w:rPr>
          <w:rFonts w:eastAsia="Times New Roman"/>
          <w:szCs w:val="26"/>
        </w:rPr>
        <w:t xml:space="preserve">filed </w:t>
      </w:r>
      <w:r w:rsidR="003C55EE">
        <w:rPr>
          <w:rFonts w:eastAsia="Times New Roman"/>
          <w:szCs w:val="26"/>
        </w:rPr>
        <w:t>untimely</w:t>
      </w:r>
      <w:r w:rsidR="004C0A0B" w:rsidRPr="004C0A0B">
        <w:rPr>
          <w:rFonts w:eastAsia="Times New Roman"/>
          <w:szCs w:val="26"/>
        </w:rPr>
        <w:t xml:space="preserve"> motion</w:t>
      </w:r>
      <w:r w:rsidR="003C55EE">
        <w:rPr>
          <w:rFonts w:eastAsia="Times New Roman"/>
          <w:szCs w:val="26"/>
        </w:rPr>
        <w:t>s</w:t>
      </w:r>
      <w:r w:rsidR="004C0A0B" w:rsidRPr="004C0A0B">
        <w:rPr>
          <w:rFonts w:eastAsia="Times New Roman"/>
          <w:szCs w:val="26"/>
        </w:rPr>
        <w:t xml:space="preserve"> to intervene, which w</w:t>
      </w:r>
      <w:r w:rsidR="003C55EE">
        <w:rPr>
          <w:rFonts w:eastAsia="Times New Roman"/>
          <w:szCs w:val="26"/>
        </w:rPr>
        <w:t>ere</w:t>
      </w:r>
      <w:r w:rsidR="004C0A0B" w:rsidRPr="004C0A0B">
        <w:rPr>
          <w:rFonts w:eastAsia="Times New Roman"/>
          <w:szCs w:val="26"/>
        </w:rPr>
        <w:t xml:space="preserve"> denied by Secretary’s Notice on May </w:t>
      </w:r>
      <w:r w:rsidR="003C55EE">
        <w:rPr>
          <w:rFonts w:eastAsia="Times New Roman"/>
          <w:szCs w:val="26"/>
        </w:rPr>
        <w:t>23</w:t>
      </w:r>
      <w:r w:rsidR="004C0A0B" w:rsidRPr="004C0A0B">
        <w:rPr>
          <w:rFonts w:eastAsia="Times New Roman"/>
          <w:szCs w:val="26"/>
        </w:rPr>
        <w:t>, 2025</w:t>
      </w:r>
      <w:r w:rsidR="003C55EE">
        <w:rPr>
          <w:rFonts w:eastAsia="Times New Roman"/>
          <w:szCs w:val="26"/>
        </w:rPr>
        <w:t>.</w:t>
      </w:r>
    </w:p>
  </w:footnote>
  <w:footnote w:id="20">
    <w:p w14:paraId="444FE4FB" w14:textId="77777777" w:rsidR="00EF5812" w:rsidRDefault="00EF5812" w:rsidP="00EF5812">
      <w:pPr>
        <w:pStyle w:val="FootnoteText"/>
      </w:pPr>
      <w:r>
        <w:rPr>
          <w:rStyle w:val="FootnoteReference"/>
        </w:rPr>
        <w:footnoteRef/>
      </w:r>
      <w:r>
        <w:t xml:space="preserve"> </w:t>
      </w:r>
      <w:r w:rsidRPr="00565600">
        <w:t>Mountain Valley</w:t>
      </w:r>
      <w:r>
        <w:t xml:space="preserve"> March 26</w:t>
      </w:r>
      <w:r w:rsidRPr="00565600">
        <w:t>, 20</w:t>
      </w:r>
      <w:r>
        <w:t>25</w:t>
      </w:r>
      <w:r w:rsidRPr="00565600">
        <w:t xml:space="preserve"> Answer</w:t>
      </w:r>
      <w:r>
        <w:t xml:space="preserve">. </w:t>
      </w:r>
    </w:p>
  </w:footnote>
  <w:footnote w:id="21">
    <w:p w14:paraId="4810493A" w14:textId="413E264B" w:rsidR="00EF5812" w:rsidRDefault="00EF5812" w:rsidP="00EF5812">
      <w:pPr>
        <w:pStyle w:val="FootnoteText"/>
      </w:pPr>
      <w:r>
        <w:rPr>
          <w:rStyle w:val="FootnoteReference"/>
        </w:rPr>
        <w:footnoteRef/>
      </w:r>
      <w:r>
        <w:t xml:space="preserve"> </w:t>
      </w:r>
      <w:r w:rsidRPr="0065595C">
        <w:rPr>
          <w:i/>
        </w:rPr>
        <w:t>See</w:t>
      </w:r>
      <w:r>
        <w:t xml:space="preserve"> 18 C.F.R. § 385.213(a)(2)</w:t>
      </w:r>
      <w:r w:rsidR="002C3CD5">
        <w:t xml:space="preserve"> (2025)</w:t>
      </w:r>
      <w:r>
        <w:t>.</w:t>
      </w:r>
    </w:p>
  </w:footnote>
  <w:footnote w:id="22">
    <w:p w14:paraId="3CC54FFD" w14:textId="4D3D4245" w:rsidR="00492963" w:rsidRDefault="00492963">
      <w:pPr>
        <w:pStyle w:val="FootnoteText"/>
      </w:pPr>
      <w:r>
        <w:rPr>
          <w:rStyle w:val="FootnoteReference"/>
        </w:rPr>
        <w:footnoteRef/>
      </w:r>
      <w:r>
        <w:t xml:space="preserve"> </w:t>
      </w:r>
      <w:r w:rsidR="00F05B9C">
        <w:t>T</w:t>
      </w:r>
      <w:r>
        <w:t xml:space="preserve">he report </w:t>
      </w:r>
      <w:r w:rsidR="000F5799">
        <w:t xml:space="preserve">and protest </w:t>
      </w:r>
      <w:r>
        <w:t>w</w:t>
      </w:r>
      <w:r w:rsidR="000F5799">
        <w:t>ere</w:t>
      </w:r>
      <w:r>
        <w:t xml:space="preserve"> also filed outside of the comment period established for the EA, </w:t>
      </w:r>
      <w:r w:rsidR="00283AEA">
        <w:rPr>
          <w:i/>
          <w:iCs/>
        </w:rPr>
        <w:t xml:space="preserve">infra </w:t>
      </w:r>
      <w:r w:rsidR="00283AEA">
        <w:t>P 4</w:t>
      </w:r>
      <w:r w:rsidR="00852327">
        <w:t>7</w:t>
      </w:r>
      <w:r w:rsidR="00283AEA">
        <w:t xml:space="preserve">, </w:t>
      </w:r>
      <w:r w:rsidR="00F05B9C">
        <w:t xml:space="preserve">and </w:t>
      </w:r>
      <w:r>
        <w:t xml:space="preserve">we </w:t>
      </w:r>
      <w:r w:rsidR="00F05B9C">
        <w:t>further</w:t>
      </w:r>
      <w:r>
        <w:t xml:space="preserve"> note that the </w:t>
      </w:r>
      <w:r w:rsidR="000F5799">
        <w:t>filings</w:t>
      </w:r>
      <w:r>
        <w:t xml:space="preserve"> do not offer any comments on EA.</w:t>
      </w:r>
    </w:p>
  </w:footnote>
  <w:footnote w:id="23">
    <w:p w14:paraId="0AB517E6" w14:textId="26517625" w:rsidR="000E6298" w:rsidRDefault="000E6298">
      <w:pPr>
        <w:pStyle w:val="FootnoteText"/>
      </w:pPr>
      <w:r>
        <w:rPr>
          <w:rStyle w:val="FootnoteReference"/>
        </w:rPr>
        <w:footnoteRef/>
      </w:r>
      <w:r>
        <w:t xml:space="preserve"> </w:t>
      </w:r>
      <w:r w:rsidR="000B4A35">
        <w:t>Appalachian Mountain Advocates March 11, 2025 Intervention and Protest</w:t>
      </w:r>
      <w:r w:rsidR="001F1596">
        <w:t xml:space="preserve"> at 2.</w:t>
      </w:r>
    </w:p>
  </w:footnote>
  <w:footnote w:id="24">
    <w:p w14:paraId="37CD23E4" w14:textId="77777777" w:rsidR="009D7FD7" w:rsidRDefault="009D7FD7" w:rsidP="009D7FD7">
      <w:pPr>
        <w:pStyle w:val="FootnoteText"/>
      </w:pPr>
      <w:r>
        <w:rPr>
          <w:rStyle w:val="FootnoteReference"/>
        </w:rPr>
        <w:footnoteRef/>
      </w:r>
      <w:r>
        <w:t xml:space="preserve"> Mountain Valley March 26, 2025 Answer at 3.</w:t>
      </w:r>
    </w:p>
  </w:footnote>
  <w:footnote w:id="25">
    <w:p w14:paraId="6DC90BDB" w14:textId="42242BBB" w:rsidR="00467DB1" w:rsidRDefault="00467DB1">
      <w:pPr>
        <w:pStyle w:val="FootnoteText"/>
      </w:pPr>
      <w:r>
        <w:rPr>
          <w:rStyle w:val="FootnoteReference"/>
        </w:rPr>
        <w:footnoteRef/>
      </w:r>
      <w:r>
        <w:t xml:space="preserve"> </w:t>
      </w:r>
      <w:r w:rsidRPr="00B00F3C">
        <w:rPr>
          <w:szCs w:val="26"/>
        </w:rPr>
        <w:t>15 U.S.C. §</w:t>
      </w:r>
      <w:r>
        <w:rPr>
          <w:szCs w:val="26"/>
        </w:rPr>
        <w:t> </w:t>
      </w:r>
      <w:r w:rsidRPr="00B00F3C">
        <w:rPr>
          <w:szCs w:val="26"/>
        </w:rPr>
        <w:t>717</w:t>
      </w:r>
      <w:r>
        <w:rPr>
          <w:szCs w:val="26"/>
        </w:rPr>
        <w:t>o</w:t>
      </w:r>
      <w:r w:rsidR="00382FB3">
        <w:rPr>
          <w:szCs w:val="26"/>
        </w:rPr>
        <w:t xml:space="preserve"> (</w:t>
      </w:r>
      <w:r w:rsidR="00670026">
        <w:rPr>
          <w:szCs w:val="26"/>
        </w:rPr>
        <w:t>broadly granting t</w:t>
      </w:r>
      <w:r w:rsidR="00670026" w:rsidRPr="00670026">
        <w:rPr>
          <w:szCs w:val="26"/>
        </w:rPr>
        <w:t xml:space="preserve">he Commission </w:t>
      </w:r>
      <w:r w:rsidR="00670026">
        <w:rPr>
          <w:szCs w:val="26"/>
        </w:rPr>
        <w:t>“</w:t>
      </w:r>
      <w:r w:rsidR="00670026" w:rsidRPr="00670026">
        <w:rPr>
          <w:szCs w:val="26"/>
        </w:rPr>
        <w:t>the power to perform any and all acts, and to prescribe, issue, make, amend, and rescind such orders, rules, and regulations as it may find necessary or appropriate to carry out the provisions of this act”</w:t>
      </w:r>
      <w:r w:rsidR="001E34A0">
        <w:rPr>
          <w:szCs w:val="26"/>
        </w:rPr>
        <w:t>).</w:t>
      </w:r>
    </w:p>
  </w:footnote>
  <w:footnote w:id="26">
    <w:p w14:paraId="58B7EE95" w14:textId="77777777" w:rsidR="00CD5120" w:rsidRDefault="00CD5120" w:rsidP="00CD5120">
      <w:pPr>
        <w:pStyle w:val="FootnoteText"/>
      </w:pPr>
      <w:r>
        <w:rPr>
          <w:rStyle w:val="FootnoteReference"/>
        </w:rPr>
        <w:footnoteRef/>
      </w:r>
      <w:r>
        <w:t xml:space="preserve"> </w:t>
      </w:r>
      <w:r w:rsidRPr="00AE41E9">
        <w:rPr>
          <w:i/>
          <w:iCs/>
        </w:rPr>
        <w:t>See supra</w:t>
      </w:r>
      <w:r>
        <w:t xml:space="preserve"> </w:t>
      </w:r>
      <w:r w:rsidRPr="008838CE">
        <w:t>PP 2-5</w:t>
      </w:r>
      <w:r>
        <w:t>.</w:t>
      </w:r>
    </w:p>
  </w:footnote>
  <w:footnote w:id="27">
    <w:p w14:paraId="6C7D75C1" w14:textId="77777777" w:rsidR="009406EB" w:rsidRPr="00962FFD" w:rsidRDefault="009406EB" w:rsidP="009406EB">
      <w:pPr>
        <w:pStyle w:val="FootnoteText"/>
        <w:tabs>
          <w:tab w:val="center" w:pos="5040"/>
        </w:tabs>
      </w:pPr>
      <w:r w:rsidRPr="00704895">
        <w:rPr>
          <w:rStyle w:val="FootnoteReference"/>
        </w:rPr>
        <w:footnoteRef/>
      </w:r>
      <w:r w:rsidRPr="00962FFD">
        <w:t xml:space="preserve"> </w:t>
      </w:r>
      <w:r w:rsidRPr="00B4023A">
        <w:t>15 U.S.C. §§ 717f(c)</w:t>
      </w:r>
      <w:r>
        <w:t>, (e)</w:t>
      </w:r>
      <w:r w:rsidRPr="00B4023A">
        <w:t>.</w:t>
      </w:r>
    </w:p>
  </w:footnote>
  <w:footnote w:id="28">
    <w:p w14:paraId="451F6900" w14:textId="2CCE9C7C" w:rsidR="00D060D2" w:rsidRPr="00B34FCE" w:rsidRDefault="00D060D2" w:rsidP="00D060D2">
      <w:pPr>
        <w:pStyle w:val="FootnoteText"/>
        <w:rPr>
          <w:b/>
        </w:rPr>
      </w:pPr>
      <w:r w:rsidRPr="00704895">
        <w:rPr>
          <w:b/>
          <w:vertAlign w:val="superscript"/>
        </w:rPr>
        <w:footnoteRef/>
      </w:r>
      <w:r w:rsidRPr="00704895">
        <w:t xml:space="preserve"> </w:t>
      </w:r>
      <w:r w:rsidRPr="00704895">
        <w:rPr>
          <w:i/>
        </w:rPr>
        <w:t>Certification of New Interstate Nat. Gas Pipeline Facilities</w:t>
      </w:r>
      <w:r w:rsidRPr="00704895">
        <w:t>, 88 FERC</w:t>
      </w:r>
      <w:r>
        <w:t xml:space="preserve">¶ 61,227, </w:t>
      </w:r>
      <w:r>
        <w:rPr>
          <w:i/>
        </w:rPr>
        <w:t>corrected</w:t>
      </w:r>
      <w:r w:rsidRPr="00D3296C">
        <w:rPr>
          <w:iCs/>
        </w:rPr>
        <w:t>,</w:t>
      </w:r>
      <w:r>
        <w:rPr>
          <w:i/>
        </w:rPr>
        <w:t xml:space="preserve"> </w:t>
      </w:r>
      <w:r>
        <w:t xml:space="preserve">89 FERC ¶ 61,040 (1999), </w:t>
      </w:r>
      <w:r>
        <w:rPr>
          <w:i/>
        </w:rPr>
        <w:t>clarified</w:t>
      </w:r>
      <w:r>
        <w:t xml:space="preserve">, 90 FERC ¶ 61,128, </w:t>
      </w:r>
      <w:r>
        <w:rPr>
          <w:i/>
        </w:rPr>
        <w:t>further clarified</w:t>
      </w:r>
      <w:r>
        <w:t>, 92</w:t>
      </w:r>
      <w:r w:rsidR="00B762DD">
        <w:t> </w:t>
      </w:r>
      <w:r>
        <w:t>FERC ¶ 61,094 (2000) (Certificate Policy Statement).</w:t>
      </w:r>
    </w:p>
  </w:footnote>
  <w:footnote w:id="29">
    <w:p w14:paraId="22FB7B1D" w14:textId="00617774" w:rsidR="00946A7F" w:rsidRDefault="00946A7F">
      <w:pPr>
        <w:pStyle w:val="FootnoteText"/>
      </w:pPr>
      <w:r>
        <w:rPr>
          <w:rStyle w:val="FootnoteReference"/>
        </w:rPr>
        <w:footnoteRef/>
      </w:r>
      <w:r>
        <w:t xml:space="preserve"> Certificate Order</w:t>
      </w:r>
      <w:r w:rsidR="008E129D">
        <w:t xml:space="preserve">, </w:t>
      </w:r>
      <w:r w:rsidR="008E129D" w:rsidRPr="006707B2">
        <w:t>171 FERC ¶ 61,232</w:t>
      </w:r>
      <w:r>
        <w:t xml:space="preserve"> at P 25.</w:t>
      </w:r>
    </w:p>
  </w:footnote>
  <w:footnote w:id="30">
    <w:p w14:paraId="63A05A1F" w14:textId="2B449EEE" w:rsidR="00F237B9" w:rsidRPr="00CE5143" w:rsidRDefault="00F237B9">
      <w:pPr>
        <w:pStyle w:val="FootnoteText"/>
        <w:rPr>
          <w:i/>
          <w:iCs/>
        </w:rPr>
      </w:pPr>
      <w:r>
        <w:rPr>
          <w:rStyle w:val="FootnoteReference"/>
        </w:rPr>
        <w:footnoteRef/>
      </w:r>
      <w:r>
        <w:t xml:space="preserve"> </w:t>
      </w:r>
      <w:r>
        <w:rPr>
          <w:i/>
          <w:iCs/>
        </w:rPr>
        <w:t>Id.</w:t>
      </w:r>
    </w:p>
  </w:footnote>
  <w:footnote w:id="31">
    <w:p w14:paraId="71F1E849" w14:textId="3A0D2754" w:rsidR="00361D13" w:rsidRDefault="00361D13">
      <w:pPr>
        <w:pStyle w:val="FootnoteText"/>
      </w:pPr>
      <w:r>
        <w:rPr>
          <w:rStyle w:val="FootnoteReference"/>
        </w:rPr>
        <w:footnoteRef/>
      </w:r>
      <w:r>
        <w:t xml:space="preserve"> </w:t>
      </w:r>
      <w:r w:rsidR="00262BF6">
        <w:t>Application</w:t>
      </w:r>
      <w:r w:rsidR="009458DD">
        <w:t xml:space="preserve"> at 9.</w:t>
      </w:r>
    </w:p>
  </w:footnote>
  <w:footnote w:id="32">
    <w:p w14:paraId="5C6DEF23" w14:textId="77777777" w:rsidR="00EB3A17" w:rsidRDefault="00EB3A17" w:rsidP="00EB3A17">
      <w:pPr>
        <w:pStyle w:val="FootnoteText"/>
      </w:pPr>
      <w:r>
        <w:rPr>
          <w:rStyle w:val="FootnoteReference"/>
        </w:rPr>
        <w:footnoteRef/>
      </w:r>
      <w:r>
        <w:t xml:space="preserve"> </w:t>
      </w:r>
      <w:r w:rsidRPr="00D859B6">
        <w:rPr>
          <w:i/>
          <w:iCs/>
        </w:rPr>
        <w:t>Id.</w:t>
      </w:r>
      <w:r>
        <w:t xml:space="preserve"> at 11-12.</w:t>
      </w:r>
    </w:p>
  </w:footnote>
  <w:footnote w:id="33">
    <w:p w14:paraId="60FFCBB1" w14:textId="3690F8AC" w:rsidR="00982A63" w:rsidRDefault="00982A63" w:rsidP="00982A63">
      <w:pPr>
        <w:pStyle w:val="FootnoteText"/>
      </w:pPr>
      <w:r>
        <w:rPr>
          <w:rStyle w:val="FootnoteReference"/>
        </w:rPr>
        <w:footnoteRef/>
      </w:r>
      <w:r>
        <w:t xml:space="preserve"> </w:t>
      </w:r>
      <w:r w:rsidRPr="00B86F77">
        <w:rPr>
          <w:i/>
          <w:iCs/>
        </w:rPr>
        <w:t>See, e.g</w:t>
      </w:r>
      <w:r w:rsidRPr="00A949AE">
        <w:rPr>
          <w:i/>
          <w:iCs/>
        </w:rPr>
        <w:t>.</w:t>
      </w:r>
      <w:r>
        <w:t xml:space="preserve">, </w:t>
      </w:r>
      <w:r w:rsidR="004838A8">
        <w:t>U.S. House of Representatives John McGuire and Virginia Foxx March 11</w:t>
      </w:r>
      <w:r>
        <w:t>, 2025 Comment</w:t>
      </w:r>
      <w:r w:rsidR="00CA7FCB">
        <w:t>s</w:t>
      </w:r>
      <w:r>
        <w:t xml:space="preserve">; </w:t>
      </w:r>
      <w:r w:rsidR="0037221A">
        <w:t>Director of the Virginia Department of Energy, Glenn Davis, March 10,</w:t>
      </w:r>
      <w:r>
        <w:t xml:space="preserve"> 2025 Comment</w:t>
      </w:r>
      <w:r w:rsidR="00CA7FCB">
        <w:t>s</w:t>
      </w:r>
      <w:r>
        <w:t xml:space="preserve">. </w:t>
      </w:r>
    </w:p>
  </w:footnote>
  <w:footnote w:id="34">
    <w:p w14:paraId="49BC9E13" w14:textId="52A02BFD" w:rsidR="00982A63" w:rsidRDefault="00982A63" w:rsidP="00982A63">
      <w:pPr>
        <w:pStyle w:val="FootnoteText"/>
      </w:pPr>
      <w:r>
        <w:rPr>
          <w:rStyle w:val="FootnoteReference"/>
        </w:rPr>
        <w:footnoteRef/>
      </w:r>
      <w:r>
        <w:t xml:space="preserve"> Duke Energy March 10, 2025 Comment</w:t>
      </w:r>
      <w:r w:rsidR="00673284">
        <w:t>s</w:t>
      </w:r>
      <w:r>
        <w:t xml:space="preserve"> at 4.</w:t>
      </w:r>
    </w:p>
  </w:footnote>
  <w:footnote w:id="35">
    <w:p w14:paraId="640918BD" w14:textId="77777777" w:rsidR="00982A63" w:rsidRPr="001629C2" w:rsidRDefault="00982A63" w:rsidP="00982A63">
      <w:pPr>
        <w:pStyle w:val="FootnoteText"/>
        <w:rPr>
          <w:lang w:val="nb-NO"/>
        </w:rPr>
      </w:pPr>
      <w:r>
        <w:rPr>
          <w:rStyle w:val="FootnoteReference"/>
        </w:rPr>
        <w:footnoteRef/>
      </w:r>
      <w:r w:rsidRPr="001629C2">
        <w:rPr>
          <w:lang w:val="nb-NO"/>
        </w:rPr>
        <w:t xml:space="preserve"> </w:t>
      </w:r>
      <w:r w:rsidRPr="001629C2">
        <w:rPr>
          <w:i/>
          <w:lang w:val="nb-NO"/>
        </w:rPr>
        <w:t xml:space="preserve">Id. </w:t>
      </w:r>
    </w:p>
  </w:footnote>
  <w:footnote w:id="36">
    <w:p w14:paraId="5ED7E59B" w14:textId="2E04AD03" w:rsidR="006F38C5" w:rsidRPr="001629C2" w:rsidRDefault="006F38C5">
      <w:pPr>
        <w:pStyle w:val="FootnoteText"/>
        <w:rPr>
          <w:lang w:val="nb-NO"/>
        </w:rPr>
      </w:pPr>
      <w:r>
        <w:rPr>
          <w:rStyle w:val="FootnoteReference"/>
        </w:rPr>
        <w:footnoteRef/>
      </w:r>
      <w:r w:rsidRPr="001629C2">
        <w:rPr>
          <w:lang w:val="nb-NO"/>
        </w:rPr>
        <w:t xml:space="preserve"> </w:t>
      </w:r>
      <w:r w:rsidRPr="001629C2">
        <w:rPr>
          <w:i/>
          <w:lang w:val="nb-NO"/>
        </w:rPr>
        <w:t>Id.</w:t>
      </w:r>
      <w:r w:rsidRPr="001629C2">
        <w:rPr>
          <w:lang w:val="nb-NO"/>
        </w:rPr>
        <w:t xml:space="preserve"> at </w:t>
      </w:r>
      <w:r w:rsidR="002160CB" w:rsidRPr="001629C2">
        <w:rPr>
          <w:lang w:val="nb-NO"/>
        </w:rPr>
        <w:t>7-8.</w:t>
      </w:r>
    </w:p>
  </w:footnote>
  <w:footnote w:id="37">
    <w:p w14:paraId="4C0702B2" w14:textId="615D3466" w:rsidR="00982A63" w:rsidRPr="001629C2" w:rsidRDefault="00982A63" w:rsidP="007A1136">
      <w:pPr>
        <w:pStyle w:val="FootnoteText"/>
        <w:tabs>
          <w:tab w:val="left" w:pos="2487"/>
        </w:tabs>
        <w:rPr>
          <w:lang w:val="nb-NO"/>
        </w:rPr>
      </w:pPr>
      <w:r>
        <w:rPr>
          <w:rStyle w:val="FootnoteReference"/>
        </w:rPr>
        <w:footnoteRef/>
      </w:r>
      <w:r w:rsidRPr="001629C2">
        <w:rPr>
          <w:lang w:val="nb-NO"/>
        </w:rPr>
        <w:t xml:space="preserve"> </w:t>
      </w:r>
      <w:r w:rsidRPr="001629C2">
        <w:rPr>
          <w:i/>
          <w:lang w:val="nb-NO"/>
        </w:rPr>
        <w:t>Id.</w:t>
      </w:r>
      <w:r w:rsidRPr="001629C2">
        <w:rPr>
          <w:lang w:val="nb-NO"/>
        </w:rPr>
        <w:t xml:space="preserve"> at 5-6.</w:t>
      </w:r>
      <w:r w:rsidR="007A1136" w:rsidRPr="001629C2">
        <w:rPr>
          <w:lang w:val="nb-NO"/>
        </w:rPr>
        <w:tab/>
      </w:r>
    </w:p>
  </w:footnote>
  <w:footnote w:id="38">
    <w:p w14:paraId="0D5B5293" w14:textId="19D5718A" w:rsidR="00BB0C35" w:rsidRDefault="00BB0C35">
      <w:pPr>
        <w:pStyle w:val="FootnoteText"/>
      </w:pPr>
      <w:r>
        <w:rPr>
          <w:rStyle w:val="FootnoteReference"/>
        </w:rPr>
        <w:footnoteRef/>
      </w:r>
      <w:r>
        <w:t xml:space="preserve"> </w:t>
      </w:r>
      <w:r w:rsidRPr="00BB0C35">
        <w:rPr>
          <w:i/>
          <w:iCs/>
        </w:rPr>
        <w:t>Id.</w:t>
      </w:r>
      <w:r w:rsidRPr="00BB0C35">
        <w:t xml:space="preserve"> at 6-7.</w:t>
      </w:r>
    </w:p>
  </w:footnote>
  <w:footnote w:id="39">
    <w:p w14:paraId="571A267F" w14:textId="4D181005" w:rsidR="00917AAA" w:rsidRDefault="00917AAA">
      <w:pPr>
        <w:pStyle w:val="FootnoteText"/>
      </w:pPr>
      <w:r>
        <w:rPr>
          <w:rStyle w:val="FootnoteReference"/>
        </w:rPr>
        <w:footnoteRef/>
      </w:r>
      <w:r>
        <w:t xml:space="preserve"> </w:t>
      </w:r>
      <w:r w:rsidR="00D57960" w:rsidRPr="00D57960">
        <w:t>Backhaul refers to transportation service where a shipper’s delivery point is upstream of the receipt point.</w:t>
      </w:r>
    </w:p>
  </w:footnote>
  <w:footnote w:id="40">
    <w:p w14:paraId="380D5A45" w14:textId="50F55838" w:rsidR="00927648" w:rsidRDefault="00927648">
      <w:pPr>
        <w:pStyle w:val="FootnoteText"/>
      </w:pPr>
      <w:r>
        <w:rPr>
          <w:rStyle w:val="FootnoteReference"/>
        </w:rPr>
        <w:footnoteRef/>
      </w:r>
      <w:r>
        <w:t xml:space="preserve"> PSNC March 20, 2025 Comment</w:t>
      </w:r>
      <w:r w:rsidR="004C609B">
        <w:t>s</w:t>
      </w:r>
      <w:r>
        <w:t xml:space="preserve"> at 3.</w:t>
      </w:r>
    </w:p>
  </w:footnote>
  <w:footnote w:id="41">
    <w:p w14:paraId="28A584EF" w14:textId="525BCFA1" w:rsidR="007E7A3C" w:rsidRDefault="007E7A3C">
      <w:pPr>
        <w:pStyle w:val="FootnoteText"/>
      </w:pPr>
      <w:r>
        <w:rPr>
          <w:rStyle w:val="FootnoteReference"/>
        </w:rPr>
        <w:footnoteRef/>
      </w:r>
      <w:r>
        <w:t xml:space="preserve"> </w:t>
      </w:r>
      <w:r w:rsidRPr="00BA1B52">
        <w:rPr>
          <w:i/>
          <w:iCs/>
        </w:rPr>
        <w:t>Id.</w:t>
      </w:r>
      <w:r>
        <w:t xml:space="preserve"> at 5</w:t>
      </w:r>
      <w:r w:rsidR="00824E47">
        <w:t>.</w:t>
      </w:r>
    </w:p>
  </w:footnote>
  <w:footnote w:id="42">
    <w:p w14:paraId="1D14FB43" w14:textId="35AD6F6D" w:rsidR="00BA1B52" w:rsidRDefault="00BA1B52">
      <w:pPr>
        <w:pStyle w:val="FootnoteText"/>
      </w:pPr>
      <w:r>
        <w:rPr>
          <w:rStyle w:val="FootnoteReference"/>
        </w:rPr>
        <w:footnoteRef/>
      </w:r>
      <w:r>
        <w:t xml:space="preserve"> </w:t>
      </w:r>
      <w:r w:rsidRPr="00BA1B52">
        <w:rPr>
          <w:i/>
          <w:iCs/>
        </w:rPr>
        <w:t>Id.</w:t>
      </w:r>
      <w:r>
        <w:t xml:space="preserve"> at 6.</w:t>
      </w:r>
    </w:p>
  </w:footnote>
  <w:footnote w:id="43">
    <w:p w14:paraId="5FFE3540" w14:textId="77C36DE5" w:rsidR="00BE5D94" w:rsidRDefault="00BE5D94">
      <w:pPr>
        <w:pStyle w:val="FootnoteText"/>
      </w:pPr>
      <w:r>
        <w:rPr>
          <w:rStyle w:val="FootnoteReference"/>
        </w:rPr>
        <w:footnoteRef/>
      </w:r>
      <w:r>
        <w:t xml:space="preserve"> </w:t>
      </w:r>
      <w:r w:rsidRPr="003E2234">
        <w:rPr>
          <w:i/>
          <w:iCs/>
        </w:rPr>
        <w:t>See</w:t>
      </w:r>
      <w:r w:rsidR="00CC1895">
        <w:rPr>
          <w:i/>
          <w:iCs/>
        </w:rPr>
        <w:t>,</w:t>
      </w:r>
      <w:r w:rsidRPr="003E2234">
        <w:rPr>
          <w:i/>
          <w:iCs/>
        </w:rPr>
        <w:t xml:space="preserve"> e.g.</w:t>
      </w:r>
      <w:r w:rsidR="00CC1895">
        <w:t>,</w:t>
      </w:r>
      <w:r>
        <w:t xml:space="preserve"> </w:t>
      </w:r>
      <w:r w:rsidR="003E2234">
        <w:t xml:space="preserve">Appalachian Mountain Advocates March 11, 2025 Intervention and Protest; </w:t>
      </w:r>
      <w:r>
        <w:t>Hallie Trauger</w:t>
      </w:r>
      <w:r w:rsidR="00AF785F">
        <w:t xml:space="preserve"> March 5, 2025 Comment</w:t>
      </w:r>
      <w:r w:rsidR="00673284">
        <w:t>s</w:t>
      </w:r>
      <w:r w:rsidR="002A503B">
        <w:t>; Molly Morabito</w:t>
      </w:r>
      <w:r w:rsidR="00FF4EE4">
        <w:t xml:space="preserve"> March 7, 2025 Comment</w:t>
      </w:r>
      <w:r w:rsidR="00673284">
        <w:t>s</w:t>
      </w:r>
      <w:r w:rsidR="00A3103B">
        <w:t xml:space="preserve">; Amanda </w:t>
      </w:r>
      <w:r w:rsidR="00F036D9">
        <w:t>Siemens March 11, 2025 Comment</w:t>
      </w:r>
      <w:r w:rsidR="00673284">
        <w:t>s</w:t>
      </w:r>
      <w:r w:rsidR="00AF785F">
        <w:t>.</w:t>
      </w:r>
    </w:p>
  </w:footnote>
  <w:footnote w:id="44">
    <w:p w14:paraId="5F778AFC" w14:textId="77777777" w:rsidR="00982A63" w:rsidRDefault="00982A63" w:rsidP="00982A63">
      <w:pPr>
        <w:pStyle w:val="FootnoteText"/>
      </w:pPr>
      <w:r>
        <w:rPr>
          <w:rStyle w:val="FootnoteReference"/>
        </w:rPr>
        <w:footnoteRef/>
      </w:r>
      <w:r>
        <w:t xml:space="preserve"> Crystal Cavalier March 10, 2025 Comments at 3.</w:t>
      </w:r>
    </w:p>
  </w:footnote>
  <w:footnote w:id="45">
    <w:p w14:paraId="014E9E66" w14:textId="77777777" w:rsidR="00982A63" w:rsidRDefault="00982A63" w:rsidP="00982A63">
      <w:pPr>
        <w:pStyle w:val="FootnoteText"/>
      </w:pPr>
      <w:r>
        <w:rPr>
          <w:rStyle w:val="FootnoteReference"/>
        </w:rPr>
        <w:footnoteRef/>
      </w:r>
      <w:r>
        <w:t xml:space="preserve"> Appalachian Mountain Advocates March 11, 2025 Intervention and Protest; Southern Alliance for Clean Energy July 28, 2025 Motion and Comments.</w:t>
      </w:r>
    </w:p>
  </w:footnote>
  <w:footnote w:id="46">
    <w:p w14:paraId="536BFA2E" w14:textId="4D3EED44" w:rsidR="00452C35" w:rsidRDefault="00452C35" w:rsidP="00452C35">
      <w:pPr>
        <w:pStyle w:val="FootnoteText"/>
      </w:pPr>
      <w:r>
        <w:rPr>
          <w:rStyle w:val="FootnoteReference"/>
        </w:rPr>
        <w:footnoteRef/>
      </w:r>
      <w:r>
        <w:t xml:space="preserve"> </w:t>
      </w:r>
      <w:r w:rsidR="00C34E0C">
        <w:t>Appalachian Mountain Advocates March 11, 2025 Intervention and Protest</w:t>
      </w:r>
      <w:r>
        <w:t xml:space="preserve">, </w:t>
      </w:r>
      <w:r w:rsidR="007C069B">
        <w:br/>
      </w:r>
      <w:r w:rsidR="00C34E0C">
        <w:t>Ex. 4</w:t>
      </w:r>
      <w:r>
        <w:t xml:space="preserve"> </w:t>
      </w:r>
      <w:r w:rsidR="00C34E0C">
        <w:t>(</w:t>
      </w:r>
      <w:r w:rsidR="001E2324">
        <w:t>IE</w:t>
      </w:r>
      <w:r w:rsidR="004543B9">
        <w:t>E</w:t>
      </w:r>
      <w:r w:rsidR="001E2324">
        <w:t xml:space="preserve">FA </w:t>
      </w:r>
      <w:r w:rsidR="00787981">
        <w:t>Report</w:t>
      </w:r>
      <w:r>
        <w:t xml:space="preserve">). </w:t>
      </w:r>
    </w:p>
  </w:footnote>
  <w:footnote w:id="47">
    <w:p w14:paraId="7069A3E1" w14:textId="77777777" w:rsidR="00452C35" w:rsidRDefault="00452C35" w:rsidP="00452C35">
      <w:pPr>
        <w:pStyle w:val="FootnoteText"/>
      </w:pPr>
      <w:r>
        <w:rPr>
          <w:rStyle w:val="FootnoteReference"/>
        </w:rPr>
        <w:footnoteRef/>
      </w:r>
      <w:r>
        <w:t xml:space="preserve"> </w:t>
      </w:r>
      <w:r w:rsidRPr="00B86F77">
        <w:rPr>
          <w:i/>
          <w:iCs/>
        </w:rPr>
        <w:t>Id</w:t>
      </w:r>
      <w:r w:rsidRPr="00696272">
        <w:rPr>
          <w:i/>
          <w:iCs/>
        </w:rPr>
        <w:t>.</w:t>
      </w:r>
      <w:r>
        <w:t xml:space="preserve"> at 24. </w:t>
      </w:r>
    </w:p>
  </w:footnote>
  <w:footnote w:id="48">
    <w:p w14:paraId="6080460D" w14:textId="706EA2F6" w:rsidR="00982A63" w:rsidRDefault="00982A63" w:rsidP="00982A63">
      <w:pPr>
        <w:pStyle w:val="FootnoteText"/>
      </w:pPr>
      <w:r>
        <w:rPr>
          <w:rStyle w:val="FootnoteReference"/>
        </w:rPr>
        <w:footnoteRef/>
      </w:r>
      <w:r>
        <w:t xml:space="preserve"> </w:t>
      </w:r>
      <w:r w:rsidRPr="00C32EFD">
        <w:t xml:space="preserve">Southern Alliance for Clean Energy </w:t>
      </w:r>
      <w:r w:rsidR="009E3A9D">
        <w:t xml:space="preserve">et al. </w:t>
      </w:r>
      <w:r>
        <w:t>July 28, 2025 Comment</w:t>
      </w:r>
      <w:r w:rsidR="00EA5F8D">
        <w:t>s</w:t>
      </w:r>
      <w:r>
        <w:t>, attach. A (LEI Report).</w:t>
      </w:r>
    </w:p>
  </w:footnote>
  <w:footnote w:id="49">
    <w:p w14:paraId="340C5516" w14:textId="04367CD3" w:rsidR="00982A63" w:rsidRDefault="00982A63" w:rsidP="00982A63">
      <w:pPr>
        <w:pStyle w:val="FootnoteText"/>
      </w:pPr>
      <w:r>
        <w:rPr>
          <w:rStyle w:val="FootnoteReference"/>
        </w:rPr>
        <w:footnoteRef/>
      </w:r>
      <w:r>
        <w:t xml:space="preserve"> </w:t>
      </w:r>
      <w:r w:rsidR="00D238C2" w:rsidRPr="00984B24">
        <w:rPr>
          <w:i/>
          <w:iCs/>
        </w:rPr>
        <w:t>Id.</w:t>
      </w:r>
      <w:r w:rsidR="00D238C2" w:rsidRPr="00984B24">
        <w:t xml:space="preserve"> at 13-14. </w:t>
      </w:r>
      <w:r w:rsidR="00D238C2" w:rsidRPr="00984B24">
        <w:rPr>
          <w:i/>
          <w:iCs/>
        </w:rPr>
        <w:t xml:space="preserve"> See</w:t>
      </w:r>
      <w:r w:rsidR="00D238C2">
        <w:rPr>
          <w:i/>
          <w:iCs/>
        </w:rPr>
        <w:t xml:space="preserve"> also id. </w:t>
      </w:r>
      <w:r w:rsidR="00D238C2">
        <w:t xml:space="preserve">at 15 (citing Georgia Public Service Commission </w:t>
      </w:r>
      <w:r w:rsidR="00D238C2" w:rsidRPr="00984B24">
        <w:t>Docket No. 55378</w:t>
      </w:r>
      <w:r w:rsidR="00D238C2">
        <w:t xml:space="preserve">, </w:t>
      </w:r>
      <w:r w:rsidR="00D238C2" w:rsidRPr="00000AF9">
        <w:rPr>
          <w:i/>
          <w:iCs/>
        </w:rPr>
        <w:t>Microsoft’s Comments on Georgia Power’s 2023 Integrated Resource Plan Updat</w:t>
      </w:r>
      <w:r w:rsidR="00D238C2" w:rsidRPr="00984B24">
        <w:t xml:space="preserve">e 1, 4 </w:t>
      </w:r>
      <w:r w:rsidR="00D238C2">
        <w:t>(</w:t>
      </w:r>
      <w:r w:rsidR="00D238C2" w:rsidRPr="00984B24">
        <w:t>Apr. 1, 2024</w:t>
      </w:r>
      <w:r w:rsidR="00D238C2">
        <w:t>),</w:t>
      </w:r>
      <w:r w:rsidR="00D238C2" w:rsidRPr="00984B24">
        <w:t xml:space="preserve"> </w:t>
      </w:r>
      <w:r w:rsidR="00D238C2" w:rsidRPr="00C45623">
        <w:t>https://psc.ga.gov/search/facts-document/?documentId=218199</w:t>
      </w:r>
      <w:r w:rsidR="00D238C2">
        <w:t>)</w:t>
      </w:r>
      <w:r w:rsidR="00D238C2" w:rsidRPr="00984B24">
        <w:t>.</w:t>
      </w:r>
      <w:r w:rsidRPr="00984B24">
        <w:t xml:space="preserve"> </w:t>
      </w:r>
    </w:p>
  </w:footnote>
  <w:footnote w:id="50">
    <w:p w14:paraId="58290A34" w14:textId="5400A91E" w:rsidR="00982A63" w:rsidRPr="001629C2" w:rsidRDefault="00982A63" w:rsidP="00982A63">
      <w:pPr>
        <w:pStyle w:val="FootnoteText"/>
        <w:rPr>
          <w:lang w:val="nb-NO"/>
        </w:rPr>
      </w:pPr>
      <w:r>
        <w:rPr>
          <w:rStyle w:val="FootnoteReference"/>
        </w:rPr>
        <w:footnoteRef/>
      </w:r>
      <w:r w:rsidRPr="001629C2">
        <w:rPr>
          <w:lang w:val="nb-NO"/>
        </w:rPr>
        <w:t xml:space="preserve"> </w:t>
      </w:r>
      <w:r w:rsidR="00B83B1E" w:rsidRPr="001629C2">
        <w:rPr>
          <w:lang w:val="nb-NO"/>
        </w:rPr>
        <w:t xml:space="preserve">LEI Report </w:t>
      </w:r>
      <w:r w:rsidRPr="001629C2">
        <w:rPr>
          <w:lang w:val="nb-NO"/>
        </w:rPr>
        <w:t>at 32-33.</w:t>
      </w:r>
    </w:p>
  </w:footnote>
  <w:footnote w:id="51">
    <w:p w14:paraId="2BC8636B" w14:textId="77777777" w:rsidR="00657CFF" w:rsidRDefault="00657CFF" w:rsidP="00657CFF">
      <w:pPr>
        <w:spacing w:after="260"/>
        <w:ind w:firstLine="720"/>
      </w:pPr>
      <w:r>
        <w:rPr>
          <w:rStyle w:val="FootnoteReference"/>
        </w:rPr>
        <w:footnoteRef/>
      </w:r>
      <w:r>
        <w:t xml:space="preserve"> Transco March 11, 2025 Intervention and Comments at 6-7.  Transco’s Southeast Supply Enhancement Project is currently pending before the Commission in Docket No. CP25-10-000. </w:t>
      </w:r>
    </w:p>
  </w:footnote>
  <w:footnote w:id="52">
    <w:p w14:paraId="419ABD03" w14:textId="77777777" w:rsidR="00657CFF" w:rsidRDefault="00657CFF" w:rsidP="00657CFF">
      <w:pPr>
        <w:pStyle w:val="FootnoteText"/>
      </w:pPr>
      <w:r>
        <w:rPr>
          <w:rStyle w:val="FootnoteReference"/>
        </w:rPr>
        <w:footnoteRef/>
      </w:r>
      <w:r>
        <w:t xml:space="preserve"> Appalachian Voices November 3, 2025 Comments at 2.</w:t>
      </w:r>
    </w:p>
  </w:footnote>
  <w:footnote w:id="53">
    <w:p w14:paraId="1F49BA08" w14:textId="07F43020" w:rsidR="00FC3710" w:rsidRDefault="00FC3710" w:rsidP="00FC3710">
      <w:pPr>
        <w:pStyle w:val="FootnoteText"/>
      </w:pPr>
      <w:r>
        <w:rPr>
          <w:rStyle w:val="FootnoteReference"/>
        </w:rPr>
        <w:footnoteRef/>
      </w:r>
      <w:r w:rsidRPr="001629C2">
        <w:rPr>
          <w:lang w:val="nb-NO"/>
        </w:rPr>
        <w:t xml:space="preserve"> </w:t>
      </w:r>
      <w:r w:rsidRPr="001629C2">
        <w:rPr>
          <w:i/>
          <w:lang w:val="nb-NO"/>
        </w:rPr>
        <w:t xml:space="preserve">Gas Trans. </w:t>
      </w:r>
      <w:r w:rsidRPr="00CA6536">
        <w:rPr>
          <w:i/>
          <w:iCs/>
        </w:rPr>
        <w:t>Nw., L.L.C. v. FERC</w:t>
      </w:r>
      <w:r>
        <w:t xml:space="preserve">, </w:t>
      </w:r>
      <w:r w:rsidRPr="0076252A">
        <w:t>No. 24-60002, 2025 WL 3011078, at *</w:t>
      </w:r>
      <w:r w:rsidR="00D154F5">
        <w:t>16</w:t>
      </w:r>
      <w:r w:rsidRPr="0076252A">
        <w:t xml:space="preserve"> (5th</w:t>
      </w:r>
      <w:r w:rsidR="001D0F71">
        <w:t> </w:t>
      </w:r>
      <w:r w:rsidRPr="0076252A">
        <w:t xml:space="preserve">Cir. Oct. 28, 2025) </w:t>
      </w:r>
      <w:r>
        <w:t>(“I</w:t>
      </w:r>
      <w:r w:rsidRPr="0076252A">
        <w:t>f a pipeline secures precedent agreements for an expansion project's entire capacity, FERC</w:t>
      </w:r>
      <w:r w:rsidR="0044039A">
        <w:t>’</w:t>
      </w:r>
      <w:r w:rsidRPr="0076252A">
        <w:t xml:space="preserve">s decision to grant a § 7 certificate is supported by </w:t>
      </w:r>
      <w:r>
        <w:t>‘</w:t>
      </w:r>
      <w:r w:rsidRPr="0076252A">
        <w:t>substantial evidence</w:t>
      </w:r>
      <w:r>
        <w:t>’</w:t>
      </w:r>
      <w:r w:rsidRPr="0076252A">
        <w:t xml:space="preserve"> under the APA.</w:t>
      </w:r>
      <w:r>
        <w:t>”) (citations omitted).</w:t>
      </w:r>
    </w:p>
  </w:footnote>
  <w:footnote w:id="54">
    <w:p w14:paraId="6CA86E42" w14:textId="4030A5C9" w:rsidR="0029572D" w:rsidRDefault="0029572D">
      <w:pPr>
        <w:pStyle w:val="FootnoteText"/>
      </w:pPr>
      <w:r>
        <w:rPr>
          <w:rStyle w:val="FootnoteReference"/>
        </w:rPr>
        <w:footnoteRef/>
      </w:r>
      <w:r>
        <w:t xml:space="preserve"> </w:t>
      </w:r>
      <w:r w:rsidR="00E45486">
        <w:t xml:space="preserve">Certificate Policy Statement, 88 FERC </w:t>
      </w:r>
      <w:r w:rsidR="0094780C">
        <w:t>at 61,747.</w:t>
      </w:r>
    </w:p>
  </w:footnote>
  <w:footnote w:id="55">
    <w:p w14:paraId="4B83EA28" w14:textId="77777777" w:rsidR="001C0756" w:rsidRDefault="001C0756" w:rsidP="001C0756">
      <w:pPr>
        <w:pStyle w:val="FootnoteText"/>
      </w:pPr>
      <w:r>
        <w:rPr>
          <w:rStyle w:val="FootnoteReference"/>
        </w:rPr>
        <w:footnoteRef/>
      </w:r>
      <w:r>
        <w:t xml:space="preserve"> </w:t>
      </w:r>
      <w:r w:rsidRPr="00D16A02">
        <w:rPr>
          <w:i/>
          <w:iCs/>
        </w:rPr>
        <w:t>Transcon. Gas Pipe Line Co., LLC</w:t>
      </w:r>
      <w:r w:rsidRPr="00D16A02">
        <w:t>, 190 FERC ¶ 61,048, at PP 27, 29 (2025).</w:t>
      </w:r>
    </w:p>
  </w:footnote>
  <w:footnote w:id="56">
    <w:p w14:paraId="6A728FAF" w14:textId="6B16B772" w:rsidR="00FC3710" w:rsidRPr="00157268" w:rsidRDefault="00FC3710" w:rsidP="00FC3710">
      <w:pPr>
        <w:pStyle w:val="FootnoteText"/>
      </w:pPr>
      <w:r>
        <w:rPr>
          <w:rStyle w:val="FootnoteReference"/>
        </w:rPr>
        <w:footnoteRef/>
      </w:r>
      <w:r>
        <w:t xml:space="preserve"> </w:t>
      </w:r>
      <w:r w:rsidR="007F4B7F" w:rsidRPr="007F4B7F">
        <w:rPr>
          <w:i/>
          <w:iCs/>
        </w:rPr>
        <w:t>Gas Trans. Nw., L.L.C. v. FERC</w:t>
      </w:r>
      <w:r w:rsidR="007F4B7F" w:rsidRPr="00A92275">
        <w:t>, No. 24-60002, 2025 WL 3011078 at *16 (citations omitted)</w:t>
      </w:r>
      <w:r w:rsidR="007F4B7F" w:rsidRPr="007F4B7F">
        <w:t>.</w:t>
      </w:r>
      <w:r w:rsidR="007F4B7F">
        <w:t xml:space="preserve"> </w:t>
      </w:r>
    </w:p>
  </w:footnote>
  <w:footnote w:id="57">
    <w:p w14:paraId="43185CB6" w14:textId="43E6C45D" w:rsidR="00AC6C8A" w:rsidRDefault="00AC6C8A" w:rsidP="00AC6C8A">
      <w:pPr>
        <w:pStyle w:val="FootnoteText"/>
      </w:pPr>
      <w:r>
        <w:rPr>
          <w:rStyle w:val="FootnoteReference"/>
        </w:rPr>
        <w:footnoteRef/>
      </w:r>
      <w:r>
        <w:t xml:space="preserve"> </w:t>
      </w:r>
      <w:r w:rsidRPr="00476327">
        <w:rPr>
          <w:i/>
          <w:iCs/>
        </w:rPr>
        <w:t>See supra</w:t>
      </w:r>
      <w:r>
        <w:t xml:space="preserve"> P </w:t>
      </w:r>
      <w:r w:rsidR="00637601">
        <w:t xml:space="preserve">23 </w:t>
      </w:r>
      <w:r>
        <w:t xml:space="preserve">(citing Duke Energy </w:t>
      </w:r>
      <w:r w:rsidR="00C66E70">
        <w:t>March 10, 2025</w:t>
      </w:r>
      <w:r>
        <w:t xml:space="preserve"> Comment</w:t>
      </w:r>
      <w:r w:rsidR="00EA5F8D">
        <w:t>s</w:t>
      </w:r>
      <w:r>
        <w:t xml:space="preserve"> at </w:t>
      </w:r>
      <w:r w:rsidR="00C66E70">
        <w:t>5-6</w:t>
      </w:r>
      <w:r>
        <w:t>).</w:t>
      </w:r>
    </w:p>
  </w:footnote>
  <w:footnote w:id="58">
    <w:p w14:paraId="29B4DB92" w14:textId="0707FAA1" w:rsidR="00C75A33" w:rsidRDefault="00C75A33" w:rsidP="00C75A33">
      <w:pPr>
        <w:pStyle w:val="FootnoteText"/>
      </w:pPr>
      <w:r>
        <w:rPr>
          <w:rStyle w:val="FootnoteReference"/>
        </w:rPr>
        <w:footnoteRef/>
      </w:r>
      <w:r>
        <w:t xml:space="preserve"> </w:t>
      </w:r>
      <w:r w:rsidRPr="00B86F77">
        <w:rPr>
          <w:i/>
          <w:iCs/>
        </w:rPr>
        <w:t>See, e.g</w:t>
      </w:r>
      <w:r>
        <w:t xml:space="preserve">., </w:t>
      </w:r>
      <w:r w:rsidRPr="00B86F77">
        <w:rPr>
          <w:i/>
          <w:iCs/>
        </w:rPr>
        <w:t>id.</w:t>
      </w:r>
      <w:r>
        <w:t xml:space="preserve"> (explaining that the </w:t>
      </w:r>
      <w:r w:rsidRPr="0043444C">
        <w:t>North Carolina Utilities Commission and Public Service Commission of South Carolina</w:t>
      </w:r>
      <w:r>
        <w:t xml:space="preserve"> regulate the rates Duke Energy charges customers)</w:t>
      </w:r>
      <w:r w:rsidR="0009624E">
        <w:t>;</w:t>
      </w:r>
      <w:r w:rsidR="0009624E" w:rsidRPr="0009624E">
        <w:rPr>
          <w:i/>
          <w:iCs/>
          <w:szCs w:val="22"/>
          <w:u w:val="single"/>
        </w:rPr>
        <w:t xml:space="preserve"> </w:t>
      </w:r>
      <w:r w:rsidR="0009624E" w:rsidRPr="008838CE">
        <w:rPr>
          <w:i/>
          <w:iCs/>
          <w:u w:val="single"/>
        </w:rPr>
        <w:t>Transcon. Gas Pipe Line Co., LLC</w:t>
      </w:r>
      <w:r w:rsidR="0009624E" w:rsidRPr="0009624E">
        <w:t xml:space="preserve">, 192 FERC ¶ 61,134, at P 37 n.157 (2025) (citing </w:t>
      </w:r>
      <w:r w:rsidR="0009624E" w:rsidRPr="008838CE">
        <w:rPr>
          <w:i/>
          <w:iCs/>
        </w:rPr>
        <w:t>Nat. Gas Pipeline Co. of Am.</w:t>
      </w:r>
      <w:r w:rsidR="0009624E" w:rsidRPr="0009624E">
        <w:t xml:space="preserve">, 20 FERC ¶ 61,324, at 61,674 (1982) (citing </w:t>
      </w:r>
      <w:r w:rsidR="0009624E" w:rsidRPr="008838CE">
        <w:rPr>
          <w:i/>
          <w:iCs/>
        </w:rPr>
        <w:t>Panhandle E. Pipe Line Co. v. Mich. Pub. Serv. Comm</w:t>
      </w:r>
      <w:r w:rsidR="0009624E" w:rsidRPr="0009624E">
        <w:rPr>
          <w:i/>
          <w:iCs/>
        </w:rPr>
        <w:t>’</w:t>
      </w:r>
      <w:r w:rsidR="0009624E" w:rsidRPr="008838CE">
        <w:rPr>
          <w:i/>
          <w:iCs/>
        </w:rPr>
        <w:t>n</w:t>
      </w:r>
      <w:r w:rsidR="0009624E" w:rsidRPr="0009624E">
        <w:t xml:space="preserve">, 341 U.S. 329, 333 (1951) and </w:t>
      </w:r>
      <w:r w:rsidR="0009624E" w:rsidRPr="008838CE">
        <w:rPr>
          <w:i/>
          <w:iCs/>
        </w:rPr>
        <w:t>Panhandle E. Pipe Line Co. v. Pub. Serv. Comm</w:t>
      </w:r>
      <w:r w:rsidR="0009624E" w:rsidRPr="0009624E">
        <w:rPr>
          <w:i/>
          <w:iCs/>
        </w:rPr>
        <w:t>’</w:t>
      </w:r>
      <w:r w:rsidR="0009624E" w:rsidRPr="008838CE">
        <w:rPr>
          <w:i/>
          <w:iCs/>
        </w:rPr>
        <w:t>n of Ind.</w:t>
      </w:r>
      <w:r w:rsidR="0009624E" w:rsidRPr="0009624E">
        <w:t>, 332 U.S. 507, 513-14 (1947))) (explaining that the consideration and review by the Commission of prices paid by end users to local distribution companies in sales are “expressly and affirmatively committed to State and local authority by the provisions of Sections 1(b) and Section 1(c) of the [NGA]”).</w:t>
      </w:r>
    </w:p>
  </w:footnote>
  <w:footnote w:id="59">
    <w:p w14:paraId="20C4F582" w14:textId="774BB29D" w:rsidR="00326F1B" w:rsidRPr="00DF48DC" w:rsidRDefault="00326F1B" w:rsidP="00326F1B">
      <w:pPr>
        <w:pStyle w:val="FootnoteText"/>
      </w:pPr>
      <w:r w:rsidRPr="00DF48DC">
        <w:rPr>
          <w:rStyle w:val="FootnoteReference"/>
        </w:rPr>
        <w:footnoteRef/>
      </w:r>
      <w:r w:rsidRPr="00DF48DC">
        <w:t xml:space="preserve"> </w:t>
      </w:r>
      <w:r w:rsidR="00CE2A68" w:rsidRPr="00CE2A68">
        <w:rPr>
          <w:i/>
          <w:iCs/>
        </w:rPr>
        <w:t>Gas Transmission Nw., LLC</w:t>
      </w:r>
      <w:r w:rsidR="00CE2A68" w:rsidRPr="00CE2A68">
        <w:t>, 185 FERC ¶ 61,035</w:t>
      </w:r>
      <w:r w:rsidR="00123E3A">
        <w:t>,</w:t>
      </w:r>
      <w:r w:rsidR="00CE2A68" w:rsidRPr="00CE2A68">
        <w:t xml:space="preserve"> at P 24 (2023)</w:t>
      </w:r>
      <w:r>
        <w:t xml:space="preserve"> (internal quotation and citation omitted).</w:t>
      </w:r>
    </w:p>
  </w:footnote>
  <w:footnote w:id="60">
    <w:p w14:paraId="2142590C" w14:textId="2FEE7E95" w:rsidR="00B43BC0" w:rsidRPr="00B43BC0" w:rsidRDefault="00B43BC0">
      <w:pPr>
        <w:pStyle w:val="FootnoteText"/>
      </w:pPr>
      <w:r>
        <w:rPr>
          <w:rStyle w:val="FootnoteReference"/>
        </w:rPr>
        <w:footnoteRef/>
      </w:r>
      <w:r>
        <w:t xml:space="preserve"> </w:t>
      </w:r>
      <w:r>
        <w:rPr>
          <w:i/>
          <w:iCs/>
        </w:rPr>
        <w:t xml:space="preserve">Supra </w:t>
      </w:r>
      <w:r>
        <w:t>P 17.</w:t>
      </w:r>
    </w:p>
  </w:footnote>
  <w:footnote w:id="61">
    <w:p w14:paraId="4D310037" w14:textId="72651DBA" w:rsidR="0025480A" w:rsidRDefault="0025480A">
      <w:pPr>
        <w:pStyle w:val="FootnoteText"/>
      </w:pPr>
      <w:r>
        <w:rPr>
          <w:rStyle w:val="FootnoteReference"/>
        </w:rPr>
        <w:footnoteRef/>
      </w:r>
      <w:r>
        <w:t xml:space="preserve"> </w:t>
      </w:r>
      <w:r w:rsidR="00BF77D6">
        <w:t>Duke Energy March 10, 2025 Intervention and Comment</w:t>
      </w:r>
      <w:r w:rsidR="00EA5F8D">
        <w:t>s</w:t>
      </w:r>
      <w:r w:rsidR="00BF77D6">
        <w:t xml:space="preserve"> at 8; </w:t>
      </w:r>
      <w:r w:rsidR="0086755F">
        <w:t>PSNC March</w:t>
      </w:r>
      <w:r w:rsidR="000B39EF">
        <w:t xml:space="preserve"> 20, 2025 Comment</w:t>
      </w:r>
      <w:r w:rsidR="00EA5F8D">
        <w:t>s</w:t>
      </w:r>
      <w:r w:rsidR="000B39EF">
        <w:t xml:space="preserve"> at 2-3.</w:t>
      </w:r>
    </w:p>
  </w:footnote>
  <w:footnote w:id="62">
    <w:p w14:paraId="265D296F" w14:textId="105B91AC" w:rsidR="00635FA3" w:rsidRDefault="00635FA3">
      <w:pPr>
        <w:pStyle w:val="FootnoteText"/>
      </w:pPr>
      <w:r>
        <w:rPr>
          <w:rStyle w:val="FootnoteReference"/>
        </w:rPr>
        <w:footnoteRef/>
      </w:r>
      <w:r>
        <w:t xml:space="preserve"> </w:t>
      </w:r>
      <w:r w:rsidR="00A579D1">
        <w:t>Duke Energy March 10, 2025 Intervention and Comment</w:t>
      </w:r>
      <w:r w:rsidR="00EA5F8D">
        <w:t>s</w:t>
      </w:r>
      <w:r w:rsidR="00A579D1">
        <w:t xml:space="preserve"> at </w:t>
      </w:r>
      <w:r w:rsidR="00EB4900">
        <w:t xml:space="preserve">7-8; </w:t>
      </w:r>
      <w:r w:rsidR="00DA4D58" w:rsidRPr="00DA4D58">
        <w:t>PSNC March 20, 2025 Comment</w:t>
      </w:r>
      <w:r w:rsidR="00EA5F8D">
        <w:t>s</w:t>
      </w:r>
      <w:r w:rsidR="00DA4D58" w:rsidRPr="00DA4D58">
        <w:t xml:space="preserve"> at 3.</w:t>
      </w:r>
    </w:p>
  </w:footnote>
  <w:footnote w:id="63">
    <w:p w14:paraId="2FB3DBF9" w14:textId="59108ECE" w:rsidR="003637C7" w:rsidRDefault="003637C7" w:rsidP="00940419">
      <w:pPr>
        <w:pStyle w:val="FootnoteText"/>
      </w:pPr>
      <w:r>
        <w:rPr>
          <w:rStyle w:val="FootnoteReference"/>
        </w:rPr>
        <w:footnoteRef/>
      </w:r>
      <w:r>
        <w:t xml:space="preserve"> </w:t>
      </w:r>
      <w:r w:rsidR="00EB2CB0">
        <w:t xml:space="preserve">Duke Energy March 10, 2025 Intervention and Comments at 4 &amp; 6-8; </w:t>
      </w:r>
      <w:r w:rsidR="00EB2CB0" w:rsidRPr="00DA4D58">
        <w:t>PSNC March 20, 2025 Comment</w:t>
      </w:r>
      <w:r w:rsidR="00EB2CB0">
        <w:t>s</w:t>
      </w:r>
      <w:r w:rsidR="00EB2CB0" w:rsidRPr="00DA4D58">
        <w:t xml:space="preserve"> at </w:t>
      </w:r>
      <w:r w:rsidR="00EB2CB0">
        <w:t xml:space="preserve">1 &amp; 3-7; Duke Energy November 3, 2025 Comments </w:t>
      </w:r>
      <w:r w:rsidR="00EB2CB0">
        <w:br/>
        <w:t>at 4 &amp; 8-9.</w:t>
      </w:r>
    </w:p>
  </w:footnote>
  <w:footnote w:id="64">
    <w:p w14:paraId="3F0B327A" w14:textId="1BE275B8" w:rsidR="00326F1B" w:rsidRDefault="00326F1B" w:rsidP="00326F1B">
      <w:pPr>
        <w:pStyle w:val="FootnoteText"/>
      </w:pPr>
      <w:r>
        <w:rPr>
          <w:rStyle w:val="FootnoteReference"/>
        </w:rPr>
        <w:footnoteRef/>
      </w:r>
      <w:r>
        <w:t xml:space="preserve"> </w:t>
      </w:r>
      <w:r w:rsidR="00D073AF" w:rsidRPr="00D073AF">
        <w:t>PSNC March 20, 2025 Comment</w:t>
      </w:r>
      <w:r w:rsidR="00EA5F8D">
        <w:t>s</w:t>
      </w:r>
      <w:r w:rsidR="00D073AF" w:rsidRPr="00D073AF">
        <w:t xml:space="preserve"> at </w:t>
      </w:r>
      <w:r w:rsidR="00D073AF">
        <w:t xml:space="preserve">3 </w:t>
      </w:r>
      <w:r w:rsidR="00EB2CB0">
        <w:t>&amp;</w:t>
      </w:r>
      <w:r w:rsidR="007B0F61">
        <w:t xml:space="preserve"> 5-7</w:t>
      </w:r>
      <w:r w:rsidR="00D073AF">
        <w:t xml:space="preserve">; </w:t>
      </w:r>
      <w:r w:rsidR="00275C41">
        <w:t>Duke Energy November 3, 2025 Comment</w:t>
      </w:r>
      <w:r w:rsidR="00EA5F8D">
        <w:t>s</w:t>
      </w:r>
      <w:r w:rsidR="00275C41">
        <w:t xml:space="preserve"> at </w:t>
      </w:r>
      <w:r w:rsidR="001F6DBD">
        <w:t>6-7</w:t>
      </w:r>
      <w:r w:rsidR="00940419">
        <w:t>.</w:t>
      </w:r>
    </w:p>
  </w:footnote>
  <w:footnote w:id="65">
    <w:p w14:paraId="73372694" w14:textId="60B943DF" w:rsidR="00F86FEF" w:rsidRDefault="00F86FEF" w:rsidP="00F57C79">
      <w:pPr>
        <w:pStyle w:val="FootnoteText"/>
        <w:ind w:left="720" w:firstLine="0"/>
      </w:pPr>
      <w:r>
        <w:rPr>
          <w:rStyle w:val="FootnoteReference"/>
        </w:rPr>
        <w:footnoteRef/>
      </w:r>
      <w:r>
        <w:t xml:space="preserve"> </w:t>
      </w:r>
      <w:r w:rsidRPr="00824F67">
        <w:rPr>
          <w:i/>
          <w:iCs/>
        </w:rPr>
        <w:t>Atl. Coast Pipeline, LLC</w:t>
      </w:r>
      <w:r w:rsidRPr="008E3CC3">
        <w:t>, 164 FERC ¶ 61,100</w:t>
      </w:r>
      <w:r>
        <w:t xml:space="preserve">, at P </w:t>
      </w:r>
      <w:r w:rsidR="00F57C79">
        <w:t>41</w:t>
      </w:r>
      <w:r w:rsidRPr="008E3CC3">
        <w:t xml:space="preserve"> (2018)</w:t>
      </w:r>
      <w:r w:rsidR="00F57C79">
        <w:t>.</w:t>
      </w:r>
    </w:p>
  </w:footnote>
  <w:footnote w:id="66">
    <w:p w14:paraId="0511D945" w14:textId="344F4EE5" w:rsidR="00BB09F1" w:rsidRDefault="00BB09F1">
      <w:pPr>
        <w:pStyle w:val="FootnoteText"/>
      </w:pPr>
      <w:r>
        <w:rPr>
          <w:rStyle w:val="FootnoteReference"/>
        </w:rPr>
        <w:footnoteRef/>
      </w:r>
      <w:r>
        <w:t xml:space="preserve"> Duke Energy </w:t>
      </w:r>
      <w:r w:rsidR="006403D0">
        <w:t xml:space="preserve">also contracted for capacity on the </w:t>
      </w:r>
      <w:r>
        <w:t xml:space="preserve">Southeast Supply </w:t>
      </w:r>
      <w:r w:rsidR="00607E91">
        <w:t>Enhancement</w:t>
      </w:r>
      <w:r>
        <w:t xml:space="preserve"> </w:t>
      </w:r>
      <w:r w:rsidR="00607E91">
        <w:t>Project and supports both</w:t>
      </w:r>
      <w:r w:rsidR="00CE6D0A">
        <w:t xml:space="preserve"> projects</w:t>
      </w:r>
      <w:r w:rsidR="00607E91">
        <w:t>.</w:t>
      </w:r>
      <w:r w:rsidR="0068512C">
        <w:t xml:space="preserve">  Duke Energy November 3, 2025 Comment</w:t>
      </w:r>
      <w:r w:rsidR="00EA5F8D">
        <w:t>s</w:t>
      </w:r>
      <w:r w:rsidR="0068512C">
        <w:t xml:space="preserve"> at 9.</w:t>
      </w:r>
    </w:p>
  </w:footnote>
  <w:footnote w:id="67">
    <w:p w14:paraId="7B26FAEF" w14:textId="2F783E0B" w:rsidR="0067216F" w:rsidRDefault="0067216F">
      <w:pPr>
        <w:pStyle w:val="FootnoteText"/>
      </w:pPr>
      <w:r>
        <w:rPr>
          <w:rStyle w:val="FootnoteReference"/>
        </w:rPr>
        <w:footnoteRef/>
      </w:r>
      <w:r>
        <w:t xml:space="preserve"> </w:t>
      </w:r>
      <w:r w:rsidR="009310EB" w:rsidRPr="00AB1136">
        <w:t>Transco, Application, Docket No. CP25-10-000, at 18</w:t>
      </w:r>
      <w:r w:rsidR="009310EB">
        <w:t xml:space="preserve"> (filed Oct. 29, 2024)</w:t>
      </w:r>
      <w:r w:rsidR="009310EB" w:rsidRPr="00AB1136">
        <w:t>.</w:t>
      </w:r>
    </w:p>
  </w:footnote>
  <w:footnote w:id="68">
    <w:p w14:paraId="401FC414" w14:textId="49B654F1" w:rsidR="002734E5" w:rsidRDefault="002734E5">
      <w:pPr>
        <w:pStyle w:val="FootnoteText"/>
      </w:pPr>
      <w:r>
        <w:rPr>
          <w:rStyle w:val="FootnoteReference"/>
        </w:rPr>
        <w:footnoteRef/>
      </w:r>
      <w:r>
        <w:t xml:space="preserve"> Application at 4.</w:t>
      </w:r>
    </w:p>
  </w:footnote>
  <w:footnote w:id="69">
    <w:p w14:paraId="26809E59" w14:textId="1FFCE042" w:rsidR="0004326B" w:rsidRPr="0029204A" w:rsidRDefault="0004326B">
      <w:pPr>
        <w:pStyle w:val="FootnoteText"/>
      </w:pPr>
      <w:r>
        <w:rPr>
          <w:rStyle w:val="FootnoteReference"/>
        </w:rPr>
        <w:footnoteRef/>
      </w:r>
      <w:r>
        <w:t xml:space="preserve"> </w:t>
      </w:r>
      <w:r w:rsidR="00321448">
        <w:rPr>
          <w:i/>
          <w:iCs/>
        </w:rPr>
        <w:t>At</w:t>
      </w:r>
      <w:r w:rsidR="003A4C52">
        <w:rPr>
          <w:i/>
          <w:iCs/>
        </w:rPr>
        <w:t>l. Coast Pipeline, LLC</w:t>
      </w:r>
      <w:r w:rsidR="0029204A">
        <w:t xml:space="preserve">, 161 FERC ¶ </w:t>
      </w:r>
      <w:r w:rsidR="00A203F2">
        <w:t>61,042 (2017).</w:t>
      </w:r>
    </w:p>
  </w:footnote>
  <w:footnote w:id="70">
    <w:p w14:paraId="04241941" w14:textId="15F6F312" w:rsidR="00AD7915" w:rsidRDefault="00AD7915">
      <w:pPr>
        <w:pStyle w:val="FootnoteText"/>
      </w:pPr>
      <w:r>
        <w:rPr>
          <w:rStyle w:val="FootnoteReference"/>
        </w:rPr>
        <w:footnoteRef/>
      </w:r>
      <w:r>
        <w:t xml:space="preserve"> </w:t>
      </w:r>
      <w:r w:rsidR="00944723" w:rsidRPr="00857F93">
        <w:rPr>
          <w:i/>
          <w:iCs/>
        </w:rPr>
        <w:t>See, e.g.</w:t>
      </w:r>
      <w:r w:rsidR="00944723" w:rsidRPr="00857F93">
        <w:t>,</w:t>
      </w:r>
      <w:r w:rsidR="00944723" w:rsidRPr="00857F93">
        <w:rPr>
          <w:i/>
          <w:iCs/>
        </w:rPr>
        <w:t xml:space="preserve"> Transcon. Gas Pipe Line Co., LLC</w:t>
      </w:r>
      <w:r w:rsidR="00944723" w:rsidRPr="00857F93">
        <w:t xml:space="preserve">, 190 FERC ¶ 61,048 at P 29 (affirming that precedent agreements are the best evidence of need); </w:t>
      </w:r>
      <w:r w:rsidR="00944723" w:rsidRPr="00857F93">
        <w:rPr>
          <w:i/>
          <w:iCs/>
        </w:rPr>
        <w:t>Tex. Gas Transmission, LLC</w:t>
      </w:r>
      <w:r w:rsidR="00944723" w:rsidRPr="00857F93">
        <w:t xml:space="preserve">, 181 FERC ¶ 61,049 (2022) (finding a long-term precedent agreement for almost 100% of the project’s capacity is significant evidence of need for the proposed project).  </w:t>
      </w:r>
      <w:r w:rsidR="00944723" w:rsidRPr="00857F93">
        <w:rPr>
          <w:i/>
        </w:rPr>
        <w:t>See also Sierra Club v. FERC</w:t>
      </w:r>
      <w:r w:rsidR="00944723" w:rsidRPr="00857F93">
        <w:t xml:space="preserve">, 38 F.4th </w:t>
      </w:r>
      <w:r w:rsidR="00944723">
        <w:t xml:space="preserve">at </w:t>
      </w:r>
      <w:r w:rsidR="00944723" w:rsidRPr="00857F93">
        <w:t xml:space="preserve">230 (finding a long-term precedent agreement for 80% of the project’s capacity showed an actual need for the project); </w:t>
      </w:r>
      <w:r w:rsidR="00944723" w:rsidRPr="00857F93">
        <w:rPr>
          <w:i/>
        </w:rPr>
        <w:t>Appalachian Voices v. FERC</w:t>
      </w:r>
      <w:r w:rsidR="00944723" w:rsidRPr="00857F93">
        <w:t>, No. 17-1271, 2019 WL 847199, at *1 (D.C. Cir. Feb. 19, 2019) (unpublished) (finding the Commission’s conclusion that there is a market need for the project was reasonable and supported by substantial evidence, in the form of long-term precedent agreements for 100% of the project’s capacity).</w:t>
      </w:r>
    </w:p>
  </w:footnote>
  <w:footnote w:id="71">
    <w:p w14:paraId="05ABCE5B" w14:textId="4AB4D002" w:rsidR="00DC46A1" w:rsidRDefault="00DC46A1">
      <w:pPr>
        <w:pStyle w:val="FootnoteText"/>
      </w:pPr>
      <w:r>
        <w:rPr>
          <w:rStyle w:val="FootnoteReference"/>
        </w:rPr>
        <w:footnoteRef/>
      </w:r>
      <w:r>
        <w:t xml:space="preserve"> </w:t>
      </w:r>
      <w:r w:rsidR="0027252E">
        <w:t xml:space="preserve">Certificate Order, </w:t>
      </w:r>
      <w:r w:rsidR="0027252E" w:rsidRPr="006707B2">
        <w:t>171 FERC ¶ 61,232</w:t>
      </w:r>
      <w:r w:rsidR="0027252E">
        <w:t xml:space="preserve"> at P 25.</w:t>
      </w:r>
    </w:p>
  </w:footnote>
  <w:footnote w:id="72">
    <w:p w14:paraId="055CAB28" w14:textId="70C8CDDF" w:rsidR="00A23D03" w:rsidRDefault="00A23D03">
      <w:pPr>
        <w:pStyle w:val="FootnoteText"/>
      </w:pPr>
      <w:r>
        <w:rPr>
          <w:rStyle w:val="FootnoteReference"/>
        </w:rPr>
        <w:footnoteRef/>
      </w:r>
      <w:r>
        <w:t xml:space="preserve"> </w:t>
      </w:r>
      <w:r w:rsidR="00F60230">
        <w:rPr>
          <w:i/>
          <w:iCs/>
        </w:rPr>
        <w:t>Id.</w:t>
      </w:r>
      <w:r w:rsidR="00646780" w:rsidRPr="00646780">
        <w:t xml:space="preserve"> P 27.  </w:t>
      </w:r>
    </w:p>
  </w:footnote>
  <w:footnote w:id="73">
    <w:p w14:paraId="7EA5D639" w14:textId="501D7D44" w:rsidR="008F4BE1" w:rsidRDefault="008F4BE1">
      <w:pPr>
        <w:pStyle w:val="FootnoteText"/>
      </w:pPr>
      <w:r>
        <w:rPr>
          <w:rStyle w:val="FootnoteReference"/>
        </w:rPr>
        <w:footnoteRef/>
      </w:r>
      <w:r>
        <w:t xml:space="preserve"> Application at 10.</w:t>
      </w:r>
    </w:p>
  </w:footnote>
  <w:footnote w:id="74">
    <w:p w14:paraId="0C53CFD6" w14:textId="77777777" w:rsidR="00BB0A6D" w:rsidRPr="00AD2817" w:rsidRDefault="00BB0A6D" w:rsidP="00BB0A6D">
      <w:pPr>
        <w:pStyle w:val="FootnoteText"/>
        <w:rPr>
          <w:rFonts w:eastAsia="Times New Roman"/>
          <w:szCs w:val="26"/>
        </w:rPr>
      </w:pPr>
      <w:r w:rsidRPr="00AD2817">
        <w:rPr>
          <w:rStyle w:val="FootnoteReference"/>
          <w:rFonts w:eastAsia="Times New Roman"/>
          <w:szCs w:val="26"/>
        </w:rPr>
        <w:footnoteRef/>
      </w:r>
      <w:r w:rsidRPr="00AD2817">
        <w:rPr>
          <w:rFonts w:eastAsia="Times New Roman"/>
          <w:szCs w:val="26"/>
        </w:rPr>
        <w:t xml:space="preserve"> </w:t>
      </w:r>
      <w:r w:rsidRPr="00AD2817">
        <w:rPr>
          <w:rFonts w:eastAsia="Times New Roman"/>
          <w:i/>
          <w:szCs w:val="26"/>
        </w:rPr>
        <w:t>See</w:t>
      </w:r>
      <w:r w:rsidRPr="00AD2817">
        <w:rPr>
          <w:rFonts w:eastAsia="Times New Roman"/>
          <w:szCs w:val="26"/>
        </w:rPr>
        <w:t xml:space="preserve"> Certificate Policy Statement, 88 FERC at 61,745-46 (explaining that only when the project benefits outweigh the adverse effects on the economic interests will the Commission then complete the environmental analysis).</w:t>
      </w:r>
    </w:p>
  </w:footnote>
  <w:footnote w:id="75">
    <w:p w14:paraId="3902A538" w14:textId="1A6290FF" w:rsidR="002C096F" w:rsidRDefault="002C096F">
      <w:pPr>
        <w:pStyle w:val="FootnoteText"/>
      </w:pPr>
      <w:r>
        <w:rPr>
          <w:rStyle w:val="FootnoteReference"/>
        </w:rPr>
        <w:footnoteRef/>
      </w:r>
      <w:r>
        <w:t xml:space="preserve"> </w:t>
      </w:r>
      <w:r w:rsidR="000A5D91" w:rsidRPr="00646780">
        <w:t>Certificate Order</w:t>
      </w:r>
      <w:r w:rsidR="000A5D91">
        <w:t xml:space="preserve">, </w:t>
      </w:r>
      <w:r w:rsidR="000A5D91" w:rsidRPr="006707B2">
        <w:t>171 FERC ¶ 61,232</w:t>
      </w:r>
      <w:r w:rsidR="000A5D91" w:rsidRPr="00646780">
        <w:t xml:space="preserve"> at P</w:t>
      </w:r>
      <w:r w:rsidR="00392CA0">
        <w:t>P</w:t>
      </w:r>
      <w:r w:rsidR="000A5D91" w:rsidRPr="00646780">
        <w:t xml:space="preserve"> </w:t>
      </w:r>
      <w:r w:rsidR="00392CA0">
        <w:t>53-54.</w:t>
      </w:r>
    </w:p>
  </w:footnote>
  <w:footnote w:id="76">
    <w:p w14:paraId="68989FAA" w14:textId="6CE6183D" w:rsidR="003C798D" w:rsidRPr="007A5C34" w:rsidRDefault="003C798D" w:rsidP="001306D6">
      <w:pPr>
        <w:pStyle w:val="FootnoteText"/>
        <w:rPr>
          <w:szCs w:val="26"/>
        </w:rPr>
      </w:pPr>
      <w:r w:rsidRPr="007A5C34">
        <w:rPr>
          <w:rStyle w:val="FootnoteReference"/>
          <w:szCs w:val="26"/>
        </w:rPr>
        <w:footnoteRef/>
      </w:r>
      <w:r w:rsidRPr="007A5C34">
        <w:rPr>
          <w:szCs w:val="26"/>
        </w:rPr>
        <w:t xml:space="preserve"> </w:t>
      </w:r>
      <w:r w:rsidR="00F5400A">
        <w:rPr>
          <w:szCs w:val="26"/>
        </w:rPr>
        <w:t xml:space="preserve">Application </w:t>
      </w:r>
      <w:r w:rsidRPr="007A5C34">
        <w:rPr>
          <w:szCs w:val="26"/>
        </w:rPr>
        <w:t>at 16</w:t>
      </w:r>
      <w:r>
        <w:rPr>
          <w:szCs w:val="26"/>
        </w:rPr>
        <w:t>.</w:t>
      </w:r>
    </w:p>
  </w:footnote>
  <w:footnote w:id="77">
    <w:p w14:paraId="14B6C6CF" w14:textId="020E5E98" w:rsidR="0066429C" w:rsidRPr="001306D6" w:rsidRDefault="0066429C" w:rsidP="001306D6">
      <w:pPr>
        <w:pStyle w:val="FootnoteText"/>
        <w:rPr>
          <w:i/>
          <w:iCs/>
          <w:szCs w:val="26"/>
        </w:rPr>
      </w:pPr>
      <w:r w:rsidRPr="007A5C34">
        <w:rPr>
          <w:rStyle w:val="FootnoteReference"/>
          <w:szCs w:val="26"/>
        </w:rPr>
        <w:footnoteRef/>
      </w:r>
      <w:r w:rsidRPr="007A5C34">
        <w:rPr>
          <w:szCs w:val="26"/>
        </w:rPr>
        <w:t xml:space="preserve"> </w:t>
      </w:r>
      <w:r w:rsidR="00FA317A">
        <w:rPr>
          <w:i/>
          <w:iCs/>
          <w:szCs w:val="26"/>
        </w:rPr>
        <w:t>Id.</w:t>
      </w:r>
      <w:r w:rsidR="00FA317A">
        <w:rPr>
          <w:szCs w:val="26"/>
        </w:rPr>
        <w:t xml:space="preserve">; </w:t>
      </w:r>
      <w:r>
        <w:rPr>
          <w:szCs w:val="26"/>
        </w:rPr>
        <w:t>Certificate Order</w:t>
      </w:r>
      <w:r w:rsidR="00FA317A">
        <w:rPr>
          <w:szCs w:val="26"/>
        </w:rPr>
        <w:t>,</w:t>
      </w:r>
      <w:r w:rsidR="00FA317A" w:rsidRPr="00FA317A">
        <w:t xml:space="preserve"> </w:t>
      </w:r>
      <w:r w:rsidR="00FA317A" w:rsidRPr="006707B2">
        <w:t>171 FERC ¶ 61,232</w:t>
      </w:r>
      <w:r>
        <w:rPr>
          <w:szCs w:val="26"/>
        </w:rPr>
        <w:t xml:space="preserve"> at P 54.</w:t>
      </w:r>
    </w:p>
  </w:footnote>
  <w:footnote w:id="78">
    <w:p w14:paraId="6538EA52" w14:textId="5056210F" w:rsidR="0066429C" w:rsidRPr="007A5C34" w:rsidRDefault="0066429C" w:rsidP="001306D6">
      <w:pPr>
        <w:pStyle w:val="FootnoteText"/>
        <w:rPr>
          <w:szCs w:val="26"/>
        </w:rPr>
      </w:pPr>
      <w:r w:rsidRPr="007A5C34">
        <w:rPr>
          <w:b/>
          <w:szCs w:val="26"/>
          <w:vertAlign w:val="superscript"/>
        </w:rPr>
        <w:footnoteRef/>
      </w:r>
      <w:r w:rsidRPr="007A5C34">
        <w:rPr>
          <w:szCs w:val="26"/>
        </w:rPr>
        <w:t xml:space="preserve"> </w:t>
      </w:r>
      <w:r w:rsidR="00E35824">
        <w:rPr>
          <w:szCs w:val="26"/>
        </w:rPr>
        <w:t xml:space="preserve">Application, </w:t>
      </w:r>
      <w:r w:rsidRPr="009F2418">
        <w:rPr>
          <w:szCs w:val="26"/>
        </w:rPr>
        <w:t xml:space="preserve">Ex. N at 1.  </w:t>
      </w:r>
    </w:p>
  </w:footnote>
  <w:footnote w:id="79">
    <w:p w14:paraId="53822BD9" w14:textId="20CCEA85" w:rsidR="0066429C" w:rsidRDefault="0066429C" w:rsidP="0066429C">
      <w:pPr>
        <w:pStyle w:val="FootnoteText"/>
        <w:spacing w:after="240"/>
      </w:pPr>
      <w:r>
        <w:rPr>
          <w:rStyle w:val="FootnoteReference"/>
        </w:rPr>
        <w:footnoteRef/>
      </w:r>
      <w:r>
        <w:t xml:space="preserve"> </w:t>
      </w:r>
      <w:r w:rsidR="00623E25">
        <w:t xml:space="preserve">Application, </w:t>
      </w:r>
      <w:r w:rsidRPr="007A5C34">
        <w:rPr>
          <w:szCs w:val="26"/>
        </w:rPr>
        <w:t>Ex</w:t>
      </w:r>
      <w:r>
        <w:rPr>
          <w:szCs w:val="26"/>
        </w:rPr>
        <w:t>.</w:t>
      </w:r>
      <w:r w:rsidRPr="007A5C34">
        <w:rPr>
          <w:szCs w:val="26"/>
        </w:rPr>
        <w:t xml:space="preserve"> P, Schedule 2.  Mountain Valley’s proposed cost of service includes </w:t>
      </w:r>
      <w:r>
        <w:rPr>
          <w:szCs w:val="26"/>
        </w:rPr>
        <w:t xml:space="preserve">an </w:t>
      </w:r>
      <w:r w:rsidRPr="007A5C34">
        <w:rPr>
          <w:szCs w:val="26"/>
        </w:rPr>
        <w:t>interruptible transportation revenue credit</w:t>
      </w:r>
      <w:r>
        <w:rPr>
          <w:szCs w:val="26"/>
        </w:rPr>
        <w:t xml:space="preserve"> of </w:t>
      </w:r>
      <w:r w:rsidRPr="007A5C34">
        <w:rPr>
          <w:szCs w:val="26"/>
        </w:rPr>
        <w:t>$528,730</w:t>
      </w:r>
      <w:r>
        <w:rPr>
          <w:szCs w:val="26"/>
        </w:rPr>
        <w:t xml:space="preserve">.  </w:t>
      </w:r>
    </w:p>
  </w:footnote>
  <w:footnote w:id="80">
    <w:p w14:paraId="43D8F86D" w14:textId="77777777" w:rsidR="0066429C" w:rsidRPr="009C3F39" w:rsidRDefault="0066429C" w:rsidP="0066429C">
      <w:pPr>
        <w:pStyle w:val="FootnoteText"/>
        <w:rPr>
          <w:szCs w:val="26"/>
        </w:rPr>
      </w:pPr>
      <w:r w:rsidRPr="00C95D0D">
        <w:rPr>
          <w:rStyle w:val="FootnoteReference"/>
          <w:szCs w:val="26"/>
        </w:rPr>
        <w:footnoteRef/>
      </w:r>
      <w:r>
        <w:rPr>
          <w:szCs w:val="26"/>
        </w:rPr>
        <w:t xml:space="preserve"> </w:t>
      </w:r>
      <w:r w:rsidRPr="009F714A">
        <w:rPr>
          <w:i/>
          <w:iCs/>
          <w:szCs w:val="26"/>
        </w:rPr>
        <w:t>Mountain Valley Pipeline, LLC</w:t>
      </w:r>
      <w:r w:rsidRPr="009F714A">
        <w:rPr>
          <w:szCs w:val="26"/>
        </w:rPr>
        <w:t>, Docket No. RP24-682-000 (May 17, 2024).</w:t>
      </w:r>
    </w:p>
  </w:footnote>
  <w:footnote w:id="81">
    <w:p w14:paraId="0B08E0B3" w14:textId="77777777" w:rsidR="00B17509" w:rsidRPr="00304B2A" w:rsidRDefault="00B17509" w:rsidP="00B17509">
      <w:pPr>
        <w:pStyle w:val="FootnoteText"/>
        <w:spacing w:after="240"/>
        <w:rPr>
          <w:szCs w:val="26"/>
        </w:rPr>
      </w:pPr>
      <w:r w:rsidRPr="00304B2A">
        <w:rPr>
          <w:rStyle w:val="FootnoteReference"/>
          <w:szCs w:val="26"/>
        </w:rPr>
        <w:footnoteRef/>
      </w:r>
      <w:r w:rsidRPr="00304B2A">
        <w:rPr>
          <w:szCs w:val="26"/>
        </w:rPr>
        <w:t xml:space="preserve"> </w:t>
      </w:r>
      <w:r w:rsidRPr="00304B2A">
        <w:rPr>
          <w:i/>
          <w:szCs w:val="26"/>
        </w:rPr>
        <w:t>See, e.g.</w:t>
      </w:r>
      <w:r w:rsidRPr="000E42DB">
        <w:rPr>
          <w:iCs/>
          <w:szCs w:val="26"/>
        </w:rPr>
        <w:t>,</w:t>
      </w:r>
      <w:r w:rsidRPr="00304B2A">
        <w:rPr>
          <w:i/>
          <w:szCs w:val="26"/>
        </w:rPr>
        <w:t xml:space="preserve"> Mountain Valley Pipeline</w:t>
      </w:r>
      <w:r w:rsidRPr="00304B2A">
        <w:rPr>
          <w:szCs w:val="26"/>
        </w:rPr>
        <w:t xml:space="preserve">, </w:t>
      </w:r>
      <w:r w:rsidRPr="00F90984">
        <w:rPr>
          <w:i/>
          <w:iCs/>
          <w:szCs w:val="26"/>
        </w:rPr>
        <w:t>LLC</w:t>
      </w:r>
      <w:r w:rsidRPr="00304B2A">
        <w:rPr>
          <w:szCs w:val="26"/>
        </w:rPr>
        <w:t xml:space="preserve">, 161 FERC ¶ 61,043, at P 82 (2017), </w:t>
      </w:r>
      <w:r w:rsidRPr="00304B2A">
        <w:rPr>
          <w:i/>
          <w:szCs w:val="26"/>
        </w:rPr>
        <w:t>order on reh’g</w:t>
      </w:r>
      <w:r w:rsidRPr="00304B2A">
        <w:rPr>
          <w:szCs w:val="26"/>
        </w:rPr>
        <w:t>, 163 FERC ¶ 61,197, at P 53 (2018)</w:t>
      </w:r>
      <w:r>
        <w:rPr>
          <w:szCs w:val="26"/>
        </w:rPr>
        <w:t>;</w:t>
      </w:r>
      <w:r w:rsidRPr="00AB7C2F">
        <w:rPr>
          <w:rFonts w:ascii="Source Sans Pro" w:hAnsi="Source Sans Pro"/>
          <w:color w:val="000000"/>
          <w:sz w:val="22"/>
          <w:szCs w:val="22"/>
          <w:bdr w:val="none" w:sz="0" w:space="0" w:color="auto" w:frame="1"/>
        </w:rPr>
        <w:t xml:space="preserve"> </w:t>
      </w:r>
      <w:r w:rsidRPr="00A03528">
        <w:rPr>
          <w:i/>
          <w:iCs/>
          <w:szCs w:val="26"/>
        </w:rPr>
        <w:t>Adelphia Gateway, LLC</w:t>
      </w:r>
      <w:r w:rsidRPr="002A60A6">
        <w:rPr>
          <w:szCs w:val="26"/>
        </w:rPr>
        <w:t>, 169 FERC ¶ 61,220</w:t>
      </w:r>
      <w:r>
        <w:rPr>
          <w:szCs w:val="26"/>
        </w:rPr>
        <w:t>, at P 63</w:t>
      </w:r>
      <w:r w:rsidRPr="002A60A6">
        <w:rPr>
          <w:szCs w:val="26"/>
        </w:rPr>
        <w:t xml:space="preserve"> (2019)</w:t>
      </w:r>
      <w:r w:rsidRPr="00304B2A">
        <w:rPr>
          <w:szCs w:val="26"/>
        </w:rPr>
        <w:t xml:space="preserve">. </w:t>
      </w:r>
    </w:p>
  </w:footnote>
  <w:footnote w:id="82">
    <w:p w14:paraId="6EA0EA06" w14:textId="2812BEF0" w:rsidR="00B17509" w:rsidRPr="00304B2A" w:rsidRDefault="00B17509" w:rsidP="00B17509">
      <w:pPr>
        <w:pStyle w:val="FootnoteText"/>
        <w:spacing w:after="240"/>
        <w:rPr>
          <w:szCs w:val="26"/>
        </w:rPr>
      </w:pPr>
      <w:r w:rsidRPr="00304B2A">
        <w:rPr>
          <w:b/>
          <w:szCs w:val="26"/>
          <w:vertAlign w:val="superscript"/>
        </w:rPr>
        <w:footnoteRef/>
      </w:r>
      <w:r w:rsidRPr="00304B2A">
        <w:rPr>
          <w:szCs w:val="26"/>
        </w:rPr>
        <w:t xml:space="preserve"> </w:t>
      </w:r>
      <w:r w:rsidRPr="00304B2A">
        <w:rPr>
          <w:i/>
          <w:szCs w:val="26"/>
        </w:rPr>
        <w:t>Mountain Valley Pipeline</w:t>
      </w:r>
      <w:r w:rsidRPr="00304B2A">
        <w:rPr>
          <w:szCs w:val="26"/>
        </w:rPr>
        <w:t xml:space="preserve">, </w:t>
      </w:r>
      <w:r w:rsidRPr="00F90984">
        <w:rPr>
          <w:i/>
          <w:iCs/>
          <w:szCs w:val="26"/>
        </w:rPr>
        <w:t>LLC</w:t>
      </w:r>
      <w:r w:rsidRPr="00304B2A">
        <w:rPr>
          <w:szCs w:val="26"/>
        </w:rPr>
        <w:t xml:space="preserve">, 163 FERC ¶ 61,197 at P 53; </w:t>
      </w:r>
      <w:r w:rsidRPr="00304B2A">
        <w:rPr>
          <w:i/>
          <w:szCs w:val="26"/>
        </w:rPr>
        <w:t>Atl</w:t>
      </w:r>
      <w:r w:rsidR="00DF32FD">
        <w:rPr>
          <w:i/>
          <w:szCs w:val="26"/>
        </w:rPr>
        <w:t>.</w:t>
      </w:r>
      <w:r w:rsidRPr="00304B2A">
        <w:rPr>
          <w:i/>
          <w:szCs w:val="26"/>
        </w:rPr>
        <w:t xml:space="preserve"> Coast Pipeline, LLC</w:t>
      </w:r>
      <w:r w:rsidRPr="00304B2A">
        <w:rPr>
          <w:szCs w:val="26"/>
        </w:rPr>
        <w:t>,</w:t>
      </w:r>
      <w:r w:rsidRPr="00304B2A">
        <w:rPr>
          <w:i/>
          <w:szCs w:val="26"/>
        </w:rPr>
        <w:t xml:space="preserve"> </w:t>
      </w:r>
      <w:r w:rsidRPr="00304B2A">
        <w:rPr>
          <w:szCs w:val="26"/>
        </w:rPr>
        <w:t xml:space="preserve">161 FERC ¶ 61,042, at P 102 (2017), </w:t>
      </w:r>
      <w:r w:rsidRPr="00304B2A">
        <w:rPr>
          <w:i/>
          <w:szCs w:val="26"/>
        </w:rPr>
        <w:t>order on reh’g</w:t>
      </w:r>
      <w:r w:rsidRPr="000E42DB">
        <w:rPr>
          <w:iCs/>
          <w:szCs w:val="26"/>
        </w:rPr>
        <w:t>,</w:t>
      </w:r>
      <w:r w:rsidRPr="00304B2A">
        <w:rPr>
          <w:i/>
          <w:szCs w:val="26"/>
        </w:rPr>
        <w:t xml:space="preserve"> </w:t>
      </w:r>
      <w:r w:rsidRPr="00304B2A">
        <w:rPr>
          <w:szCs w:val="26"/>
        </w:rPr>
        <w:t xml:space="preserve">164 FERC </w:t>
      </w:r>
      <w:r w:rsidR="0054273B">
        <w:rPr>
          <w:szCs w:val="26"/>
        </w:rPr>
        <w:t xml:space="preserve">              </w:t>
      </w:r>
      <w:r w:rsidRPr="00304B2A">
        <w:rPr>
          <w:szCs w:val="26"/>
        </w:rPr>
        <w:t xml:space="preserve">¶ 61,100, at P 69 (2018); </w:t>
      </w:r>
      <w:r w:rsidRPr="00304B2A">
        <w:rPr>
          <w:i/>
          <w:szCs w:val="26"/>
        </w:rPr>
        <w:t>Carlsbad Gateway, LLC</w:t>
      </w:r>
      <w:r w:rsidRPr="001C2DFA">
        <w:rPr>
          <w:szCs w:val="26"/>
        </w:rPr>
        <w:t>, 178 FERC ¶ 61,053</w:t>
      </w:r>
      <w:r>
        <w:rPr>
          <w:szCs w:val="26"/>
        </w:rPr>
        <w:t>, at P 20</w:t>
      </w:r>
      <w:r w:rsidRPr="001C2DFA">
        <w:rPr>
          <w:szCs w:val="26"/>
        </w:rPr>
        <w:t xml:space="preserve"> (2022)</w:t>
      </w:r>
      <w:r w:rsidRPr="00304B2A">
        <w:rPr>
          <w:szCs w:val="26"/>
        </w:rPr>
        <w:t>.</w:t>
      </w:r>
    </w:p>
  </w:footnote>
  <w:footnote w:id="83">
    <w:p w14:paraId="2E3ECE75" w14:textId="77777777" w:rsidR="00B17509" w:rsidRPr="00B7123F" w:rsidRDefault="00B17509" w:rsidP="00B17509">
      <w:pPr>
        <w:pStyle w:val="FootnoteText"/>
        <w:spacing w:after="240"/>
        <w:rPr>
          <w:szCs w:val="26"/>
          <w:highlight w:val="yellow"/>
        </w:rPr>
      </w:pPr>
      <w:r w:rsidRPr="00304B2A">
        <w:rPr>
          <w:rStyle w:val="FootnoteReference"/>
          <w:szCs w:val="26"/>
        </w:rPr>
        <w:footnoteRef/>
      </w:r>
      <w:r w:rsidRPr="00304B2A">
        <w:rPr>
          <w:szCs w:val="26"/>
        </w:rPr>
        <w:t xml:space="preserve"> </w:t>
      </w:r>
      <w:r w:rsidRPr="00304B2A">
        <w:rPr>
          <w:i/>
          <w:szCs w:val="26"/>
        </w:rPr>
        <w:t>Cameron Interstate Pipeline, LLC</w:t>
      </w:r>
      <w:r>
        <w:rPr>
          <w:iCs/>
          <w:szCs w:val="26"/>
        </w:rPr>
        <w:t>,</w:t>
      </w:r>
      <w:r w:rsidRPr="00304B2A">
        <w:rPr>
          <w:i/>
          <w:szCs w:val="26"/>
        </w:rPr>
        <w:t xml:space="preserve"> </w:t>
      </w:r>
      <w:r w:rsidRPr="00304B2A">
        <w:rPr>
          <w:szCs w:val="26"/>
        </w:rPr>
        <w:t xml:space="preserve">189 FERC ¶ 61,048, at P 17 (2024); </w:t>
      </w:r>
      <w:r w:rsidRPr="00304B2A">
        <w:rPr>
          <w:i/>
          <w:szCs w:val="26"/>
        </w:rPr>
        <w:t>Adelphia Gateway, LLC</w:t>
      </w:r>
      <w:r w:rsidRPr="00304B2A">
        <w:rPr>
          <w:szCs w:val="26"/>
        </w:rPr>
        <w:t>,</w:t>
      </w:r>
      <w:r w:rsidRPr="00304B2A">
        <w:rPr>
          <w:i/>
          <w:szCs w:val="26"/>
        </w:rPr>
        <w:t xml:space="preserve"> </w:t>
      </w:r>
      <w:r w:rsidRPr="00304B2A">
        <w:rPr>
          <w:szCs w:val="26"/>
        </w:rPr>
        <w:t>169 FERC ¶ 61,220 at P 65.</w:t>
      </w:r>
    </w:p>
  </w:footnote>
  <w:footnote w:id="84">
    <w:p w14:paraId="3A833619" w14:textId="2EDD2421" w:rsidR="00B17509" w:rsidRDefault="00B17509" w:rsidP="00B17509">
      <w:pPr>
        <w:pStyle w:val="FootnoteText"/>
        <w:spacing w:after="240"/>
      </w:pPr>
      <w:r>
        <w:rPr>
          <w:rStyle w:val="FootnoteReference"/>
        </w:rPr>
        <w:footnoteRef/>
      </w:r>
      <w:r w:rsidDel="00A25331">
        <w:t xml:space="preserve"> </w:t>
      </w:r>
      <w:r w:rsidR="00BC7060" w:rsidRPr="003672C0">
        <w:rPr>
          <w:i/>
          <w:szCs w:val="26"/>
        </w:rPr>
        <w:t>M</w:t>
      </w:r>
      <w:r w:rsidR="00BC7060">
        <w:rPr>
          <w:i/>
          <w:szCs w:val="26"/>
        </w:rPr>
        <w:t>ountain</w:t>
      </w:r>
      <w:r w:rsidR="00BC7060" w:rsidRPr="003672C0">
        <w:rPr>
          <w:i/>
          <w:szCs w:val="26"/>
        </w:rPr>
        <w:t xml:space="preserve"> Valley Pipeline, LLC, </w:t>
      </w:r>
      <w:r w:rsidR="00BC7060" w:rsidRPr="00F90984">
        <w:rPr>
          <w:iCs/>
          <w:szCs w:val="26"/>
        </w:rPr>
        <w:t>163 FERC ¶ 61,197</w:t>
      </w:r>
      <w:r w:rsidR="00BC7060">
        <w:rPr>
          <w:iCs/>
          <w:szCs w:val="26"/>
        </w:rPr>
        <w:t xml:space="preserve"> at P 53 (citing</w:t>
      </w:r>
      <w:r w:rsidR="00BC7060" w:rsidRPr="00304B2A">
        <w:rPr>
          <w:i/>
          <w:szCs w:val="26"/>
        </w:rPr>
        <w:t xml:space="preserve"> e.g.</w:t>
      </w:r>
      <w:r w:rsidR="00BC7060" w:rsidRPr="00A25331">
        <w:rPr>
          <w:szCs w:val="26"/>
        </w:rPr>
        <w:t>,</w:t>
      </w:r>
      <w:r w:rsidR="00BC7060" w:rsidRPr="00304B2A">
        <w:rPr>
          <w:i/>
          <w:szCs w:val="26"/>
        </w:rPr>
        <w:t xml:space="preserve"> Gas Transmission Nw</w:t>
      </w:r>
      <w:r w:rsidR="00BC7060">
        <w:rPr>
          <w:i/>
          <w:szCs w:val="26"/>
        </w:rPr>
        <w:t>.</w:t>
      </w:r>
      <w:r w:rsidR="00BC7060" w:rsidRPr="00304B2A">
        <w:rPr>
          <w:i/>
          <w:szCs w:val="26"/>
        </w:rPr>
        <w:t>, LLC</w:t>
      </w:r>
      <w:r w:rsidR="00BC7060" w:rsidRPr="00A25331">
        <w:rPr>
          <w:szCs w:val="26"/>
        </w:rPr>
        <w:t>, 142 FERC ¶ 61,186, at P 18 (2013) (requiring use of 12.2</w:t>
      </w:r>
      <w:r w:rsidR="00BC7060">
        <w:rPr>
          <w:szCs w:val="26"/>
        </w:rPr>
        <w:t>%</w:t>
      </w:r>
      <w:r w:rsidR="00BC7060" w:rsidRPr="00A25331">
        <w:rPr>
          <w:szCs w:val="26"/>
        </w:rPr>
        <w:t xml:space="preserve"> ROE from recent settlement, not the proposed 13.0</w:t>
      </w:r>
      <w:r w:rsidR="00BC7060">
        <w:rPr>
          <w:szCs w:val="26"/>
        </w:rPr>
        <w:t>%</w:t>
      </w:r>
      <w:r w:rsidR="00BC7060" w:rsidRPr="00A25331">
        <w:rPr>
          <w:szCs w:val="26"/>
        </w:rPr>
        <w:t>)</w:t>
      </w:r>
      <w:r w:rsidR="00BC7060">
        <w:rPr>
          <w:szCs w:val="26"/>
        </w:rPr>
        <w:t>).</w:t>
      </w:r>
    </w:p>
  </w:footnote>
  <w:footnote w:id="85">
    <w:p w14:paraId="26F40289" w14:textId="35660C6A" w:rsidR="002E60FF" w:rsidRDefault="002E60FF" w:rsidP="002E60FF">
      <w:pPr>
        <w:pStyle w:val="FootnoteText"/>
        <w:spacing w:after="240"/>
      </w:pPr>
      <w:r>
        <w:rPr>
          <w:rStyle w:val="FootnoteReference"/>
        </w:rPr>
        <w:footnoteRef/>
      </w:r>
      <w:r>
        <w:t xml:space="preserve"> </w:t>
      </w:r>
      <w:r w:rsidRPr="00696899">
        <w:rPr>
          <w:szCs w:val="26"/>
        </w:rPr>
        <w:t>Certificate Order</w:t>
      </w:r>
      <w:r w:rsidR="005E22C2">
        <w:rPr>
          <w:szCs w:val="26"/>
        </w:rPr>
        <w:t>,</w:t>
      </w:r>
      <w:r w:rsidR="005E22C2" w:rsidRPr="005E22C2">
        <w:t xml:space="preserve"> </w:t>
      </w:r>
      <w:r w:rsidR="005E22C2" w:rsidRPr="006707B2">
        <w:t>171 FERC ¶ 61,232</w:t>
      </w:r>
      <w:r w:rsidRPr="00696899">
        <w:rPr>
          <w:szCs w:val="26"/>
        </w:rPr>
        <w:t xml:space="preserve"> at P </w:t>
      </w:r>
      <w:r w:rsidR="005E22C2">
        <w:rPr>
          <w:szCs w:val="26"/>
        </w:rPr>
        <w:t>5</w:t>
      </w:r>
      <w:r w:rsidRPr="00696899">
        <w:rPr>
          <w:szCs w:val="26"/>
        </w:rPr>
        <w:t xml:space="preserve">7, </w:t>
      </w:r>
      <w:r w:rsidR="007F54B7">
        <w:rPr>
          <w:szCs w:val="26"/>
        </w:rPr>
        <w:t>Rehearing Order</w:t>
      </w:r>
      <w:r w:rsidRPr="00696899">
        <w:rPr>
          <w:szCs w:val="26"/>
        </w:rPr>
        <w:t>, 172 FERC ¶</w:t>
      </w:r>
      <w:r w:rsidR="00592E67">
        <w:rPr>
          <w:szCs w:val="26"/>
        </w:rPr>
        <w:t> </w:t>
      </w:r>
      <w:r w:rsidRPr="00696899">
        <w:rPr>
          <w:szCs w:val="26"/>
        </w:rPr>
        <w:t>61,261</w:t>
      </w:r>
      <w:r w:rsidR="00E72552">
        <w:rPr>
          <w:szCs w:val="26"/>
        </w:rPr>
        <w:t xml:space="preserve"> at P 14</w:t>
      </w:r>
      <w:r>
        <w:rPr>
          <w:szCs w:val="26"/>
        </w:rPr>
        <w:t xml:space="preserve">, </w:t>
      </w:r>
      <w:r w:rsidR="00084FB4" w:rsidRPr="006707B2">
        <w:rPr>
          <w:i/>
          <w:iCs/>
        </w:rPr>
        <w:t>aff’d</w:t>
      </w:r>
      <w:r w:rsidR="000D2B10">
        <w:t>,</w:t>
      </w:r>
      <w:r w:rsidR="00084FB4" w:rsidRPr="006707B2">
        <w:rPr>
          <w:i/>
          <w:iCs/>
        </w:rPr>
        <w:t xml:space="preserve"> </w:t>
      </w:r>
      <w:r w:rsidRPr="00304B2A">
        <w:rPr>
          <w:i/>
          <w:iCs/>
          <w:szCs w:val="26"/>
        </w:rPr>
        <w:t>Sierra Club v. FERC</w:t>
      </w:r>
      <w:r w:rsidRPr="00696899">
        <w:rPr>
          <w:szCs w:val="26"/>
        </w:rPr>
        <w:t xml:space="preserve">, 38 F.4th </w:t>
      </w:r>
      <w:r w:rsidR="006F65E1">
        <w:rPr>
          <w:szCs w:val="26"/>
        </w:rPr>
        <w:t>at 232</w:t>
      </w:r>
      <w:r>
        <w:rPr>
          <w:szCs w:val="26"/>
        </w:rPr>
        <w:t>.</w:t>
      </w:r>
    </w:p>
  </w:footnote>
  <w:footnote w:id="86">
    <w:p w14:paraId="20530888" w14:textId="3138FFBB" w:rsidR="002E60FF" w:rsidRDefault="002E60FF" w:rsidP="00013E69">
      <w:pPr>
        <w:pStyle w:val="NormalWeb"/>
        <w:ind w:firstLine="720"/>
        <w:rPr>
          <w:sz w:val="26"/>
          <w:szCs w:val="26"/>
        </w:rPr>
      </w:pPr>
      <w:r>
        <w:rPr>
          <w:rStyle w:val="FootnoteReference"/>
        </w:rPr>
        <w:footnoteRef/>
      </w:r>
      <w:r>
        <w:rPr>
          <w:i/>
          <w:iCs/>
          <w:sz w:val="26"/>
          <w:szCs w:val="26"/>
        </w:rPr>
        <w:t xml:space="preserve"> </w:t>
      </w:r>
      <w:r>
        <w:rPr>
          <w:sz w:val="26"/>
          <w:szCs w:val="26"/>
        </w:rPr>
        <w:t>Certificate Order</w:t>
      </w:r>
      <w:r w:rsidR="00365A9A">
        <w:rPr>
          <w:sz w:val="26"/>
          <w:szCs w:val="26"/>
        </w:rPr>
        <w:t>,</w:t>
      </w:r>
      <w:r w:rsidR="00365A9A" w:rsidRPr="00365A9A">
        <w:t xml:space="preserve"> </w:t>
      </w:r>
      <w:r w:rsidR="00365A9A" w:rsidRPr="006707B2">
        <w:t>171 FERC ¶ 61,232</w:t>
      </w:r>
      <w:r>
        <w:rPr>
          <w:sz w:val="26"/>
          <w:szCs w:val="26"/>
        </w:rPr>
        <w:t xml:space="preserve"> at P 27; Rehearing Order</w:t>
      </w:r>
      <w:r w:rsidR="00365A9A">
        <w:rPr>
          <w:sz w:val="26"/>
          <w:szCs w:val="26"/>
        </w:rPr>
        <w:t>,</w:t>
      </w:r>
      <w:r w:rsidR="00365A9A" w:rsidRPr="00365A9A">
        <w:rPr>
          <w:szCs w:val="26"/>
        </w:rPr>
        <w:t xml:space="preserve"> </w:t>
      </w:r>
      <w:r w:rsidR="00365A9A" w:rsidRPr="00696899">
        <w:rPr>
          <w:szCs w:val="26"/>
        </w:rPr>
        <w:t xml:space="preserve">172 FERC </w:t>
      </w:r>
      <w:r w:rsidR="0054273B">
        <w:rPr>
          <w:szCs w:val="26"/>
        </w:rPr>
        <w:t xml:space="preserve">           </w:t>
      </w:r>
      <w:r w:rsidR="00365A9A" w:rsidRPr="00696899">
        <w:rPr>
          <w:szCs w:val="26"/>
        </w:rPr>
        <w:t>¶ 61,261</w:t>
      </w:r>
      <w:r>
        <w:rPr>
          <w:sz w:val="26"/>
          <w:szCs w:val="26"/>
        </w:rPr>
        <w:t xml:space="preserve"> at P 14.</w:t>
      </w:r>
    </w:p>
    <w:p w14:paraId="1BDF085E" w14:textId="77777777" w:rsidR="00013E69" w:rsidRPr="00013E69" w:rsidRDefault="00013E69" w:rsidP="00013E69">
      <w:pPr>
        <w:pStyle w:val="NormalWeb"/>
        <w:ind w:firstLine="720"/>
        <w:rPr>
          <w:sz w:val="26"/>
          <w:szCs w:val="26"/>
        </w:rPr>
      </w:pPr>
    </w:p>
  </w:footnote>
  <w:footnote w:id="87">
    <w:p w14:paraId="085D9815" w14:textId="55A1DE2B" w:rsidR="002E60FF" w:rsidRDefault="002E60FF" w:rsidP="00FA5443">
      <w:pPr>
        <w:pStyle w:val="NormalWeb"/>
        <w:ind w:firstLine="720"/>
        <w:rPr>
          <w:sz w:val="26"/>
          <w:szCs w:val="26"/>
        </w:rPr>
      </w:pPr>
      <w:r>
        <w:rPr>
          <w:rStyle w:val="FootnoteReference"/>
        </w:rPr>
        <w:footnoteRef/>
      </w:r>
      <w:r>
        <w:t xml:space="preserve"> </w:t>
      </w:r>
      <w:r>
        <w:rPr>
          <w:sz w:val="26"/>
          <w:szCs w:val="26"/>
        </w:rPr>
        <w:t>Rehear</w:t>
      </w:r>
      <w:r w:rsidR="009805F5">
        <w:rPr>
          <w:sz w:val="26"/>
          <w:szCs w:val="26"/>
        </w:rPr>
        <w:t>ing</w:t>
      </w:r>
      <w:r w:rsidR="002332C6">
        <w:rPr>
          <w:sz w:val="26"/>
          <w:szCs w:val="26"/>
        </w:rPr>
        <w:t xml:space="preserve"> Order</w:t>
      </w:r>
      <w:r w:rsidR="009A3C6D">
        <w:rPr>
          <w:sz w:val="26"/>
          <w:szCs w:val="26"/>
        </w:rPr>
        <w:t>,</w:t>
      </w:r>
      <w:r w:rsidR="009A3C6D" w:rsidRPr="009A3C6D">
        <w:rPr>
          <w:szCs w:val="26"/>
        </w:rPr>
        <w:t xml:space="preserve"> </w:t>
      </w:r>
      <w:r w:rsidR="009A3C6D" w:rsidRPr="00696899">
        <w:rPr>
          <w:szCs w:val="26"/>
        </w:rPr>
        <w:t>172 FERC ¶ 61,261</w:t>
      </w:r>
      <w:r>
        <w:rPr>
          <w:sz w:val="26"/>
          <w:szCs w:val="26"/>
        </w:rPr>
        <w:t xml:space="preserve"> at P 16 (citing </w:t>
      </w:r>
      <w:r w:rsidRPr="00F04B32">
        <w:rPr>
          <w:i/>
          <w:iCs/>
          <w:sz w:val="26"/>
          <w:szCs w:val="26"/>
        </w:rPr>
        <w:t>Rockies Express Pipeline LLC</w:t>
      </w:r>
      <w:r>
        <w:rPr>
          <w:sz w:val="26"/>
          <w:szCs w:val="26"/>
        </w:rPr>
        <w:t>,</w:t>
      </w:r>
      <w:r w:rsidRPr="00F04B32">
        <w:rPr>
          <w:sz w:val="26"/>
          <w:szCs w:val="26"/>
        </w:rPr>
        <w:t xml:space="preserve"> </w:t>
      </w:r>
      <w:r w:rsidRPr="00680CE7">
        <w:rPr>
          <w:sz w:val="26"/>
          <w:szCs w:val="26"/>
        </w:rPr>
        <w:t>116 FERC ¶ 61,272 (2006)</w:t>
      </w:r>
      <w:r>
        <w:rPr>
          <w:sz w:val="26"/>
          <w:szCs w:val="26"/>
        </w:rPr>
        <w:t xml:space="preserve">); </w:t>
      </w:r>
      <w:r>
        <w:rPr>
          <w:i/>
          <w:iCs/>
          <w:sz w:val="26"/>
          <w:szCs w:val="26"/>
        </w:rPr>
        <w:t xml:space="preserve">see </w:t>
      </w:r>
      <w:r w:rsidRPr="00B7123F">
        <w:rPr>
          <w:i/>
          <w:iCs/>
          <w:sz w:val="26"/>
          <w:szCs w:val="26"/>
        </w:rPr>
        <w:t>Sierra Club v. FERC</w:t>
      </w:r>
      <w:r w:rsidRPr="00696899">
        <w:rPr>
          <w:sz w:val="26"/>
          <w:szCs w:val="26"/>
        </w:rPr>
        <w:t>, 38 F.4</w:t>
      </w:r>
      <w:r w:rsidRPr="000E42DB">
        <w:rPr>
          <w:sz w:val="26"/>
          <w:szCs w:val="26"/>
        </w:rPr>
        <w:t>th</w:t>
      </w:r>
      <w:r>
        <w:rPr>
          <w:sz w:val="26"/>
          <w:szCs w:val="26"/>
        </w:rPr>
        <w:t xml:space="preserve"> at </w:t>
      </w:r>
      <w:r w:rsidR="00604856">
        <w:rPr>
          <w:sz w:val="26"/>
          <w:szCs w:val="26"/>
        </w:rPr>
        <w:t>231-</w:t>
      </w:r>
      <w:r>
        <w:rPr>
          <w:sz w:val="26"/>
          <w:szCs w:val="26"/>
        </w:rPr>
        <w:t>32.</w:t>
      </w:r>
    </w:p>
    <w:p w14:paraId="75080743" w14:textId="77777777" w:rsidR="00013E69" w:rsidRPr="00FA5443" w:rsidRDefault="00013E69" w:rsidP="00FA5443">
      <w:pPr>
        <w:pStyle w:val="NormalWeb"/>
        <w:ind w:firstLine="720"/>
        <w:rPr>
          <w:sz w:val="26"/>
          <w:szCs w:val="26"/>
        </w:rPr>
      </w:pPr>
    </w:p>
  </w:footnote>
  <w:footnote w:id="88">
    <w:p w14:paraId="7D87CD45" w14:textId="02A003F0" w:rsidR="00624970" w:rsidRPr="00680CE7" w:rsidRDefault="00624970" w:rsidP="00624970">
      <w:pPr>
        <w:pStyle w:val="FootnoteText"/>
        <w:spacing w:after="240"/>
        <w:rPr>
          <w:szCs w:val="26"/>
          <w:highlight w:val="yellow"/>
        </w:rPr>
      </w:pPr>
      <w:r w:rsidRPr="00B8007E">
        <w:rPr>
          <w:rStyle w:val="FootnoteReference"/>
          <w:szCs w:val="26"/>
        </w:rPr>
        <w:footnoteRef/>
      </w:r>
      <w:r w:rsidRPr="00B8007E">
        <w:rPr>
          <w:szCs w:val="26"/>
        </w:rPr>
        <w:t xml:space="preserve"> </w:t>
      </w:r>
      <w:r w:rsidR="0039151B">
        <w:rPr>
          <w:i/>
          <w:iCs/>
          <w:szCs w:val="26"/>
        </w:rPr>
        <w:t xml:space="preserve">Supra </w:t>
      </w:r>
      <w:r w:rsidR="0039151B" w:rsidRPr="004F06EC">
        <w:rPr>
          <w:szCs w:val="26"/>
        </w:rPr>
        <w:t>note 7</w:t>
      </w:r>
      <w:r w:rsidRPr="00B8007E">
        <w:rPr>
          <w:szCs w:val="26"/>
        </w:rPr>
        <w:t xml:space="preserve">. </w:t>
      </w:r>
    </w:p>
  </w:footnote>
  <w:footnote w:id="89">
    <w:p w14:paraId="077913DB" w14:textId="41718E0E" w:rsidR="007835A3" w:rsidRDefault="007835A3">
      <w:pPr>
        <w:pStyle w:val="FootnoteText"/>
      </w:pPr>
      <w:r>
        <w:rPr>
          <w:rStyle w:val="FootnoteReference"/>
        </w:rPr>
        <w:footnoteRef/>
      </w:r>
      <w:r>
        <w:t xml:space="preserve"> </w:t>
      </w:r>
      <w:r>
        <w:rPr>
          <w:szCs w:val="26"/>
        </w:rPr>
        <w:t>Rehearing Order,</w:t>
      </w:r>
      <w:r w:rsidRPr="009A3C6D">
        <w:rPr>
          <w:szCs w:val="26"/>
        </w:rPr>
        <w:t xml:space="preserve"> </w:t>
      </w:r>
      <w:r w:rsidRPr="00696899">
        <w:rPr>
          <w:szCs w:val="26"/>
        </w:rPr>
        <w:t>172 FERC ¶ 61,261</w:t>
      </w:r>
      <w:r>
        <w:rPr>
          <w:szCs w:val="26"/>
        </w:rPr>
        <w:t xml:space="preserve"> at P 16</w:t>
      </w:r>
    </w:p>
  </w:footnote>
  <w:footnote w:id="90">
    <w:p w14:paraId="5DDAD80F" w14:textId="4FC3D12C" w:rsidR="00624970" w:rsidRPr="00680CE7" w:rsidRDefault="00624970" w:rsidP="00624970">
      <w:pPr>
        <w:pStyle w:val="FootnoteText"/>
        <w:spacing w:after="240"/>
        <w:rPr>
          <w:szCs w:val="26"/>
        </w:rPr>
      </w:pPr>
      <w:r w:rsidRPr="00680CE7">
        <w:rPr>
          <w:rStyle w:val="FootnoteReference"/>
          <w:szCs w:val="26"/>
        </w:rPr>
        <w:footnoteRef/>
      </w:r>
      <w:r w:rsidRPr="00680CE7">
        <w:rPr>
          <w:szCs w:val="26"/>
        </w:rPr>
        <w:t xml:space="preserve">  </w:t>
      </w:r>
      <w:r w:rsidRPr="00680CE7">
        <w:rPr>
          <w:i/>
          <w:iCs/>
          <w:szCs w:val="26"/>
        </w:rPr>
        <w:t>See</w:t>
      </w:r>
      <w:r w:rsidR="004F4B5D">
        <w:rPr>
          <w:szCs w:val="26"/>
        </w:rPr>
        <w:t xml:space="preserve"> </w:t>
      </w:r>
      <w:r w:rsidR="004F4B5D">
        <w:rPr>
          <w:i/>
          <w:iCs/>
          <w:szCs w:val="26"/>
        </w:rPr>
        <w:t>id.</w:t>
      </w:r>
      <w:r w:rsidR="004F4B5D">
        <w:rPr>
          <w:szCs w:val="26"/>
        </w:rPr>
        <w:t xml:space="preserve"> </w:t>
      </w:r>
      <w:r w:rsidRPr="00680CE7">
        <w:rPr>
          <w:szCs w:val="26"/>
        </w:rPr>
        <w:t xml:space="preserve">P 15 (citing </w:t>
      </w:r>
      <w:r w:rsidRPr="008D662E">
        <w:rPr>
          <w:i/>
          <w:iCs/>
          <w:szCs w:val="26"/>
        </w:rPr>
        <w:t>Cheyenne Connector, LLC,</w:t>
      </w:r>
      <w:r w:rsidRPr="00680CE7">
        <w:rPr>
          <w:szCs w:val="26"/>
        </w:rPr>
        <w:t xml:space="preserve"> 168 FERC ¶ 61,180</w:t>
      </w:r>
      <w:r w:rsidR="002868C5">
        <w:rPr>
          <w:szCs w:val="26"/>
        </w:rPr>
        <w:t>,</w:t>
      </w:r>
      <w:r w:rsidRPr="00680CE7">
        <w:rPr>
          <w:szCs w:val="26"/>
        </w:rPr>
        <w:t xml:space="preserve"> at P 52 (2019)).</w:t>
      </w:r>
    </w:p>
  </w:footnote>
  <w:footnote w:id="91">
    <w:p w14:paraId="1B7DE88D" w14:textId="4BDFBB4B" w:rsidR="00624970" w:rsidRDefault="00624970" w:rsidP="00624970">
      <w:pPr>
        <w:pStyle w:val="FootnoteText"/>
        <w:spacing w:after="240"/>
      </w:pPr>
      <w:r w:rsidRPr="009D30F3">
        <w:rPr>
          <w:rStyle w:val="FootnoteReference"/>
          <w:szCs w:val="26"/>
        </w:rPr>
        <w:footnoteRef/>
      </w:r>
      <w:r w:rsidRPr="00680CE7">
        <w:rPr>
          <w:szCs w:val="26"/>
        </w:rPr>
        <w:t xml:space="preserve"> </w:t>
      </w:r>
      <w:r>
        <w:rPr>
          <w:i/>
          <w:iCs/>
          <w:szCs w:val="26"/>
        </w:rPr>
        <w:t>E.g.</w:t>
      </w:r>
      <w:r>
        <w:rPr>
          <w:szCs w:val="26"/>
        </w:rPr>
        <w:t xml:space="preserve">, </w:t>
      </w:r>
      <w:r w:rsidRPr="00AD1D97">
        <w:rPr>
          <w:i/>
          <w:iCs/>
          <w:szCs w:val="26"/>
        </w:rPr>
        <w:t>Corpus Christi Liquefaction Stage III, LLC</w:t>
      </w:r>
      <w:r w:rsidRPr="00AD1D97">
        <w:rPr>
          <w:szCs w:val="26"/>
        </w:rPr>
        <w:t xml:space="preserve">, 169 FERC ¶ 61,135, </w:t>
      </w:r>
      <w:r w:rsidR="0054273B">
        <w:rPr>
          <w:szCs w:val="26"/>
        </w:rPr>
        <w:t xml:space="preserve">              </w:t>
      </w:r>
      <w:r w:rsidRPr="00AD1D97">
        <w:rPr>
          <w:szCs w:val="26"/>
        </w:rPr>
        <w:t>at P</w:t>
      </w:r>
      <w:r>
        <w:rPr>
          <w:szCs w:val="26"/>
        </w:rPr>
        <w:t>P</w:t>
      </w:r>
      <w:r w:rsidR="00A46D9A">
        <w:rPr>
          <w:szCs w:val="26"/>
        </w:rPr>
        <w:t> </w:t>
      </w:r>
      <w:r>
        <w:rPr>
          <w:szCs w:val="26"/>
        </w:rPr>
        <w:t>34</w:t>
      </w:r>
      <w:r w:rsidR="00A46D9A">
        <w:rPr>
          <w:szCs w:val="26"/>
        </w:rPr>
        <w:noBreakHyphen/>
      </w:r>
      <w:r w:rsidRPr="00AD1D97">
        <w:rPr>
          <w:szCs w:val="26"/>
        </w:rPr>
        <w:t>35 (2019</w:t>
      </w:r>
      <w:r>
        <w:rPr>
          <w:szCs w:val="26"/>
        </w:rPr>
        <w:t>);</w:t>
      </w:r>
      <w:r w:rsidRPr="00AD1D97">
        <w:rPr>
          <w:i/>
          <w:szCs w:val="26"/>
        </w:rPr>
        <w:t xml:space="preserve"> </w:t>
      </w:r>
      <w:r w:rsidRPr="00680CE7">
        <w:rPr>
          <w:i/>
          <w:szCs w:val="26"/>
        </w:rPr>
        <w:t>Cheyenne Connector, LLC</w:t>
      </w:r>
      <w:r w:rsidRPr="00680CE7">
        <w:rPr>
          <w:szCs w:val="26"/>
        </w:rPr>
        <w:t>, 168 FERC ¶ 61,</w:t>
      </w:r>
      <w:r w:rsidRPr="00304B2A">
        <w:rPr>
          <w:szCs w:val="26"/>
        </w:rPr>
        <w:t xml:space="preserve">180 at PP 51-52; </w:t>
      </w:r>
      <w:r w:rsidRPr="00304B2A">
        <w:rPr>
          <w:i/>
          <w:szCs w:val="26"/>
        </w:rPr>
        <w:t>Gulfstream Nat</w:t>
      </w:r>
      <w:r w:rsidR="00076C6C">
        <w:rPr>
          <w:i/>
          <w:szCs w:val="26"/>
        </w:rPr>
        <w:t>.</w:t>
      </w:r>
      <w:r w:rsidRPr="00304B2A">
        <w:rPr>
          <w:i/>
          <w:szCs w:val="26"/>
        </w:rPr>
        <w:t xml:space="preserve"> Gas Sys</w:t>
      </w:r>
      <w:r w:rsidR="00076C6C">
        <w:rPr>
          <w:i/>
          <w:szCs w:val="26"/>
        </w:rPr>
        <w:t>.</w:t>
      </w:r>
      <w:r w:rsidRPr="00304B2A">
        <w:rPr>
          <w:i/>
          <w:szCs w:val="26"/>
        </w:rPr>
        <w:t>, L.L.C.</w:t>
      </w:r>
      <w:r w:rsidRPr="00304B2A">
        <w:rPr>
          <w:szCs w:val="26"/>
        </w:rPr>
        <w:t>, 170 FERC ¶ 61,199</w:t>
      </w:r>
      <w:r w:rsidR="007479D6">
        <w:rPr>
          <w:szCs w:val="26"/>
        </w:rPr>
        <w:t>,</w:t>
      </w:r>
      <w:r w:rsidRPr="00304B2A">
        <w:rPr>
          <w:szCs w:val="26"/>
        </w:rPr>
        <w:t xml:space="preserve"> at PP 18-</w:t>
      </w:r>
      <w:r>
        <w:rPr>
          <w:szCs w:val="26"/>
        </w:rPr>
        <w:t>19</w:t>
      </w:r>
      <w:r w:rsidR="007479D6">
        <w:rPr>
          <w:szCs w:val="26"/>
        </w:rPr>
        <w:t xml:space="preserve"> (2020)</w:t>
      </w:r>
      <w:r>
        <w:rPr>
          <w:szCs w:val="26"/>
        </w:rPr>
        <w:t xml:space="preserve">; </w:t>
      </w:r>
      <w:r w:rsidRPr="007A4191">
        <w:rPr>
          <w:i/>
          <w:iCs/>
          <w:szCs w:val="26"/>
        </w:rPr>
        <w:t>Carlsbad Gateway, LLC</w:t>
      </w:r>
      <w:r w:rsidRPr="005D0217">
        <w:rPr>
          <w:szCs w:val="26"/>
        </w:rPr>
        <w:t>, 178 FERC ¶ 61,053 at P 20</w:t>
      </w:r>
      <w:r>
        <w:rPr>
          <w:szCs w:val="26"/>
        </w:rPr>
        <w:t>.</w:t>
      </w:r>
    </w:p>
  </w:footnote>
  <w:footnote w:id="92">
    <w:p w14:paraId="2187E89C" w14:textId="13E6A557" w:rsidR="00624970" w:rsidRPr="003B151E" w:rsidRDefault="00624970" w:rsidP="003B151E">
      <w:pPr>
        <w:pStyle w:val="FootnoteText"/>
        <w:rPr>
          <w:szCs w:val="26"/>
        </w:rPr>
      </w:pPr>
      <w:r w:rsidRPr="00304B2A">
        <w:rPr>
          <w:rStyle w:val="FootnoteReference"/>
          <w:szCs w:val="26"/>
        </w:rPr>
        <w:footnoteRef/>
      </w:r>
      <w:r w:rsidRPr="00304B2A">
        <w:rPr>
          <w:szCs w:val="26"/>
        </w:rPr>
        <w:t xml:space="preserve"> </w:t>
      </w:r>
      <w:r w:rsidRPr="00304B2A">
        <w:rPr>
          <w:i/>
          <w:szCs w:val="26"/>
        </w:rPr>
        <w:t>Panhandle E. Pipe Line Co</w:t>
      </w:r>
      <w:r w:rsidRPr="00304B2A">
        <w:rPr>
          <w:szCs w:val="26"/>
        </w:rPr>
        <w:t xml:space="preserve">., Opinion No. 885, 181 FERC ¶ 61,211 (2022), </w:t>
      </w:r>
      <w:r w:rsidRPr="00304B2A">
        <w:rPr>
          <w:i/>
          <w:szCs w:val="26"/>
        </w:rPr>
        <w:t>order on reh’g</w:t>
      </w:r>
      <w:r w:rsidRPr="00304B2A">
        <w:rPr>
          <w:szCs w:val="26"/>
        </w:rPr>
        <w:t xml:space="preserve">, Opinion No. 885-A, 184 FERC ¶ 61,181 (2023), </w:t>
      </w:r>
      <w:r w:rsidRPr="00304B2A">
        <w:rPr>
          <w:i/>
          <w:szCs w:val="26"/>
        </w:rPr>
        <w:t>order on reh’g</w:t>
      </w:r>
      <w:r w:rsidRPr="00304B2A">
        <w:rPr>
          <w:szCs w:val="26"/>
        </w:rPr>
        <w:t xml:space="preserve">, Opinion No. 885-B, 186 FERC ¶ 61,015 (2024), </w:t>
      </w:r>
      <w:r w:rsidRPr="00304B2A">
        <w:rPr>
          <w:i/>
          <w:szCs w:val="26"/>
        </w:rPr>
        <w:t>pets. for review filed sub nom. Panhandle E. Pipe Line Co. v. FERC</w:t>
      </w:r>
      <w:r w:rsidRPr="00304B2A">
        <w:rPr>
          <w:szCs w:val="26"/>
        </w:rPr>
        <w:t>, No. 23-1220 (D.C. Cir.).</w:t>
      </w:r>
    </w:p>
  </w:footnote>
  <w:footnote w:id="93">
    <w:p w14:paraId="4BF6E59A" w14:textId="65B9262E" w:rsidR="00FE00A0" w:rsidRPr="00FE00A0" w:rsidRDefault="00FE00A0" w:rsidP="00FE00A0">
      <w:pPr>
        <w:pStyle w:val="FootnoteText"/>
        <w:rPr>
          <w:szCs w:val="26"/>
        </w:rPr>
      </w:pPr>
      <w:r>
        <w:rPr>
          <w:rStyle w:val="FootnoteReference"/>
        </w:rPr>
        <w:footnoteRef/>
      </w:r>
      <w:r>
        <w:t xml:space="preserve"> </w:t>
      </w:r>
      <w:r w:rsidRPr="00304B2A">
        <w:rPr>
          <w:szCs w:val="26"/>
        </w:rPr>
        <w:t xml:space="preserve">18 C.F.R. § 154.309 (2025).  </w:t>
      </w:r>
    </w:p>
  </w:footnote>
  <w:footnote w:id="94">
    <w:p w14:paraId="11820B84" w14:textId="0AFAAECC" w:rsidR="00FE00A0" w:rsidRPr="00FE00A0" w:rsidRDefault="00FE00A0" w:rsidP="00FE00A0">
      <w:pPr>
        <w:pStyle w:val="FootnoteText"/>
        <w:rPr>
          <w:i/>
          <w:szCs w:val="26"/>
        </w:rPr>
      </w:pPr>
      <w:r w:rsidRPr="007A5C34">
        <w:rPr>
          <w:rStyle w:val="FootnoteReference"/>
          <w:szCs w:val="26"/>
        </w:rPr>
        <w:footnoteRef/>
      </w:r>
      <w:r w:rsidRPr="007A5C34">
        <w:rPr>
          <w:szCs w:val="26"/>
        </w:rPr>
        <w:t xml:space="preserve"> </w:t>
      </w:r>
      <w:r>
        <w:rPr>
          <w:i/>
          <w:iCs/>
          <w:szCs w:val="26"/>
        </w:rPr>
        <w:t xml:space="preserve">Id. </w:t>
      </w:r>
    </w:p>
  </w:footnote>
  <w:footnote w:id="95">
    <w:p w14:paraId="40066CE1" w14:textId="3023EAD0" w:rsidR="00FE00A0" w:rsidRPr="009920E9" w:rsidRDefault="00FE00A0" w:rsidP="000D638B">
      <w:pPr>
        <w:pStyle w:val="FootnoteText"/>
        <w:rPr>
          <w:szCs w:val="26"/>
        </w:rPr>
      </w:pPr>
      <w:r w:rsidRPr="009920E9">
        <w:rPr>
          <w:rStyle w:val="FootnoteReference"/>
          <w:szCs w:val="26"/>
        </w:rPr>
        <w:footnoteRef/>
      </w:r>
      <w:r w:rsidRPr="009920E9">
        <w:rPr>
          <w:i/>
          <w:szCs w:val="26"/>
        </w:rPr>
        <w:t xml:space="preserve"> </w:t>
      </w:r>
      <w:r w:rsidR="007A7157" w:rsidRPr="009920E9">
        <w:rPr>
          <w:i/>
          <w:szCs w:val="26"/>
        </w:rPr>
        <w:t xml:space="preserve">See Revisions to Forms, Statements, </w:t>
      </w:r>
      <w:r w:rsidR="007A7157">
        <w:rPr>
          <w:i/>
          <w:szCs w:val="26"/>
        </w:rPr>
        <w:t>&amp;</w:t>
      </w:r>
      <w:r w:rsidR="007A7157" w:rsidRPr="009920E9">
        <w:rPr>
          <w:i/>
          <w:szCs w:val="26"/>
        </w:rPr>
        <w:t xml:space="preserve"> Reporting Requirements for Nat</w:t>
      </w:r>
      <w:r w:rsidR="007A7157">
        <w:rPr>
          <w:i/>
          <w:szCs w:val="26"/>
        </w:rPr>
        <w:t>.</w:t>
      </w:r>
      <w:r w:rsidR="007A7157" w:rsidRPr="009920E9">
        <w:rPr>
          <w:i/>
          <w:szCs w:val="26"/>
        </w:rPr>
        <w:t xml:space="preserve"> Gas Pipelines, </w:t>
      </w:r>
      <w:r w:rsidR="007A7157" w:rsidRPr="009920E9">
        <w:rPr>
          <w:szCs w:val="26"/>
        </w:rPr>
        <w:t>Order No. 710, 122 FERC ¶ 61,262, at P 23 (2008).</w:t>
      </w:r>
    </w:p>
  </w:footnote>
  <w:footnote w:id="96">
    <w:p w14:paraId="4CA10249" w14:textId="133B0A8C" w:rsidR="00282A36" w:rsidRPr="009920E9" w:rsidRDefault="00282A36" w:rsidP="00282A36">
      <w:pPr>
        <w:pStyle w:val="FootnoteText"/>
        <w:rPr>
          <w:szCs w:val="26"/>
        </w:rPr>
      </w:pPr>
      <w:r w:rsidRPr="009920E9">
        <w:rPr>
          <w:b/>
          <w:szCs w:val="26"/>
          <w:vertAlign w:val="superscript"/>
        </w:rPr>
        <w:footnoteRef/>
      </w:r>
      <w:r w:rsidRPr="009920E9">
        <w:rPr>
          <w:szCs w:val="26"/>
        </w:rPr>
        <w:t xml:space="preserve"> </w:t>
      </w:r>
      <w:r w:rsidR="000C7763" w:rsidRPr="009920E9">
        <w:rPr>
          <w:i/>
          <w:szCs w:val="26"/>
        </w:rPr>
        <w:t>Alts</w:t>
      </w:r>
      <w:r w:rsidR="000C7763">
        <w:rPr>
          <w:i/>
          <w:szCs w:val="26"/>
        </w:rPr>
        <w:t>.</w:t>
      </w:r>
      <w:r w:rsidR="000C7763" w:rsidRPr="009920E9">
        <w:rPr>
          <w:i/>
          <w:szCs w:val="26"/>
        </w:rPr>
        <w:t xml:space="preserve"> to Traditional Cost-of-Serv</w:t>
      </w:r>
      <w:r w:rsidR="000C7763">
        <w:rPr>
          <w:i/>
          <w:szCs w:val="26"/>
        </w:rPr>
        <w:t>.</w:t>
      </w:r>
      <w:r w:rsidR="000C7763" w:rsidRPr="009920E9">
        <w:rPr>
          <w:i/>
          <w:szCs w:val="26"/>
        </w:rPr>
        <w:t xml:space="preserve"> Ratemaking for Nat</w:t>
      </w:r>
      <w:r w:rsidR="000C7763">
        <w:rPr>
          <w:i/>
          <w:szCs w:val="26"/>
        </w:rPr>
        <w:t>.</w:t>
      </w:r>
      <w:r w:rsidR="000C7763" w:rsidRPr="009920E9">
        <w:rPr>
          <w:i/>
          <w:szCs w:val="26"/>
        </w:rPr>
        <w:t xml:space="preserve"> Gas Pipelines; Regul</w:t>
      </w:r>
      <w:r w:rsidR="000C7763">
        <w:rPr>
          <w:i/>
          <w:szCs w:val="26"/>
        </w:rPr>
        <w:t>.</w:t>
      </w:r>
      <w:r w:rsidR="000C7763" w:rsidRPr="009920E9">
        <w:rPr>
          <w:i/>
          <w:szCs w:val="26"/>
        </w:rPr>
        <w:t xml:space="preserve"> </w:t>
      </w:r>
      <w:r w:rsidR="0054273B">
        <w:rPr>
          <w:i/>
          <w:szCs w:val="26"/>
        </w:rPr>
        <w:t xml:space="preserve">   </w:t>
      </w:r>
      <w:r w:rsidR="000C7763" w:rsidRPr="009920E9">
        <w:rPr>
          <w:i/>
          <w:szCs w:val="26"/>
        </w:rPr>
        <w:t>of Negotiated Transp</w:t>
      </w:r>
      <w:r w:rsidR="000C7763">
        <w:rPr>
          <w:i/>
          <w:szCs w:val="26"/>
        </w:rPr>
        <w:t>.</w:t>
      </w:r>
      <w:r w:rsidR="000C7763" w:rsidRPr="009920E9">
        <w:rPr>
          <w:i/>
          <w:szCs w:val="26"/>
        </w:rPr>
        <w:t xml:space="preserve"> Servs</w:t>
      </w:r>
      <w:r w:rsidR="000C7763">
        <w:rPr>
          <w:i/>
          <w:szCs w:val="26"/>
        </w:rPr>
        <w:t>.</w:t>
      </w:r>
      <w:r w:rsidR="000C7763" w:rsidRPr="009920E9">
        <w:rPr>
          <w:i/>
          <w:szCs w:val="26"/>
        </w:rPr>
        <w:t xml:space="preserve"> of Nat</w:t>
      </w:r>
      <w:r w:rsidR="000C7763">
        <w:rPr>
          <w:i/>
          <w:szCs w:val="26"/>
        </w:rPr>
        <w:t>.</w:t>
      </w:r>
      <w:r w:rsidR="000C7763" w:rsidRPr="009920E9">
        <w:rPr>
          <w:i/>
          <w:szCs w:val="26"/>
        </w:rPr>
        <w:t xml:space="preserve"> Gas Pipelines</w:t>
      </w:r>
      <w:r w:rsidR="000C7763" w:rsidRPr="009920E9">
        <w:rPr>
          <w:szCs w:val="26"/>
        </w:rPr>
        <w:t xml:space="preserve"> (Alternative Rate Policy Statement), 74 FERC ¶ 61,076, </w:t>
      </w:r>
      <w:r w:rsidR="000C7763" w:rsidRPr="009920E9">
        <w:rPr>
          <w:i/>
          <w:szCs w:val="26"/>
        </w:rPr>
        <w:t>reh’g and clarification denied</w:t>
      </w:r>
      <w:r w:rsidR="000C7763" w:rsidRPr="009920E9">
        <w:rPr>
          <w:szCs w:val="26"/>
        </w:rPr>
        <w:t xml:space="preserve">, 75 FERC ¶ 61,024, </w:t>
      </w:r>
      <w:r w:rsidR="000C7763" w:rsidRPr="009920E9">
        <w:rPr>
          <w:i/>
          <w:szCs w:val="26"/>
        </w:rPr>
        <w:t>reh’g denied</w:t>
      </w:r>
      <w:r w:rsidR="000C7763" w:rsidRPr="009920E9">
        <w:rPr>
          <w:szCs w:val="26"/>
        </w:rPr>
        <w:t xml:space="preserve">, </w:t>
      </w:r>
      <w:r w:rsidR="0054273B">
        <w:rPr>
          <w:szCs w:val="26"/>
        </w:rPr>
        <w:t xml:space="preserve">    </w:t>
      </w:r>
      <w:r w:rsidR="000C7763" w:rsidRPr="009920E9">
        <w:rPr>
          <w:szCs w:val="26"/>
        </w:rPr>
        <w:t xml:space="preserve">75 FERC ¶ 61,066 (1996), </w:t>
      </w:r>
      <w:r w:rsidR="000C7763" w:rsidRPr="009920E9">
        <w:rPr>
          <w:i/>
          <w:szCs w:val="26"/>
        </w:rPr>
        <w:t>aff’d sub nom.</w:t>
      </w:r>
      <w:r w:rsidR="000C7763" w:rsidRPr="009920E9">
        <w:rPr>
          <w:szCs w:val="26"/>
        </w:rPr>
        <w:t xml:space="preserve"> </w:t>
      </w:r>
      <w:r w:rsidR="000C7763" w:rsidRPr="009920E9">
        <w:rPr>
          <w:i/>
          <w:szCs w:val="26"/>
        </w:rPr>
        <w:t>Burlington Reso</w:t>
      </w:r>
      <w:r w:rsidR="000C7763">
        <w:rPr>
          <w:i/>
          <w:szCs w:val="26"/>
        </w:rPr>
        <w:t>.</w:t>
      </w:r>
      <w:r w:rsidR="000C7763" w:rsidRPr="009920E9">
        <w:rPr>
          <w:i/>
          <w:szCs w:val="26"/>
        </w:rPr>
        <w:t xml:space="preserve"> Oil &amp; Gas Co. v. FERC</w:t>
      </w:r>
      <w:r w:rsidR="000C7763" w:rsidRPr="009920E9">
        <w:rPr>
          <w:szCs w:val="26"/>
        </w:rPr>
        <w:t xml:space="preserve">, </w:t>
      </w:r>
      <w:r w:rsidR="0054273B">
        <w:rPr>
          <w:szCs w:val="26"/>
        </w:rPr>
        <w:t xml:space="preserve">   </w:t>
      </w:r>
      <w:r w:rsidR="000C7763" w:rsidRPr="009920E9">
        <w:rPr>
          <w:szCs w:val="26"/>
        </w:rPr>
        <w:t>172 F.3d (D.C. Cir. 1998).</w:t>
      </w:r>
    </w:p>
  </w:footnote>
  <w:footnote w:id="97">
    <w:p w14:paraId="7FF3425C" w14:textId="7AD2E1D7" w:rsidR="00282A36" w:rsidRPr="00164100" w:rsidRDefault="00282A36" w:rsidP="00282A36">
      <w:pPr>
        <w:pStyle w:val="FootnoteText"/>
      </w:pPr>
      <w:r w:rsidRPr="009920E9">
        <w:rPr>
          <w:b/>
          <w:szCs w:val="26"/>
          <w:vertAlign w:val="superscript"/>
        </w:rPr>
        <w:footnoteRef/>
      </w:r>
      <w:r w:rsidRPr="009920E9">
        <w:rPr>
          <w:szCs w:val="26"/>
        </w:rPr>
        <w:t xml:space="preserve"> </w:t>
      </w:r>
      <w:r w:rsidR="00341657" w:rsidRPr="009920E9">
        <w:rPr>
          <w:i/>
          <w:szCs w:val="26"/>
        </w:rPr>
        <w:t>Nat</w:t>
      </w:r>
      <w:r w:rsidR="00341657">
        <w:rPr>
          <w:i/>
          <w:szCs w:val="26"/>
        </w:rPr>
        <w:t>.</w:t>
      </w:r>
      <w:r w:rsidR="00341657" w:rsidRPr="009920E9">
        <w:rPr>
          <w:i/>
          <w:szCs w:val="26"/>
        </w:rPr>
        <w:t xml:space="preserve"> Gas Pipelines Negotiated Rate Policies </w:t>
      </w:r>
      <w:r w:rsidR="00341657">
        <w:rPr>
          <w:i/>
          <w:szCs w:val="26"/>
        </w:rPr>
        <w:t>&amp;</w:t>
      </w:r>
      <w:r w:rsidR="00341657" w:rsidRPr="009920E9">
        <w:rPr>
          <w:i/>
          <w:szCs w:val="26"/>
        </w:rPr>
        <w:t xml:space="preserve"> Pracs</w:t>
      </w:r>
      <w:r w:rsidR="00341657">
        <w:rPr>
          <w:i/>
          <w:szCs w:val="26"/>
        </w:rPr>
        <w:t>.</w:t>
      </w:r>
      <w:r w:rsidR="00341657" w:rsidRPr="009920E9">
        <w:rPr>
          <w:i/>
          <w:szCs w:val="26"/>
        </w:rPr>
        <w:t>; Modification of Negotiated Rate Pol</w:t>
      </w:r>
      <w:r w:rsidR="00341657">
        <w:rPr>
          <w:i/>
          <w:szCs w:val="26"/>
        </w:rPr>
        <w:t>’</w:t>
      </w:r>
      <w:r w:rsidR="00341657" w:rsidRPr="009920E9">
        <w:rPr>
          <w:i/>
          <w:szCs w:val="26"/>
        </w:rPr>
        <w:t>y</w:t>
      </w:r>
      <w:r w:rsidR="00341657" w:rsidRPr="009920E9">
        <w:rPr>
          <w:szCs w:val="26"/>
        </w:rPr>
        <w:t xml:space="preserve">, 104 FERC ¶ 61,134 (2003), </w:t>
      </w:r>
      <w:r w:rsidR="00341657" w:rsidRPr="009920E9">
        <w:rPr>
          <w:i/>
          <w:szCs w:val="26"/>
        </w:rPr>
        <w:t>order on reh’g and clarification</w:t>
      </w:r>
      <w:r w:rsidR="00341657" w:rsidRPr="009920E9">
        <w:rPr>
          <w:szCs w:val="26"/>
        </w:rPr>
        <w:t xml:space="preserve">, </w:t>
      </w:r>
      <w:r w:rsidR="0054273B">
        <w:rPr>
          <w:szCs w:val="26"/>
        </w:rPr>
        <w:t xml:space="preserve">  </w:t>
      </w:r>
      <w:r w:rsidR="00341657" w:rsidRPr="009920E9">
        <w:rPr>
          <w:szCs w:val="26"/>
        </w:rPr>
        <w:t xml:space="preserve">114 FERC ¶ 61,042, </w:t>
      </w:r>
      <w:r w:rsidR="00341657" w:rsidRPr="009920E9">
        <w:rPr>
          <w:i/>
          <w:szCs w:val="26"/>
        </w:rPr>
        <w:t>reh’g dismissed and clarification denied</w:t>
      </w:r>
      <w:r w:rsidR="00341657" w:rsidRPr="009920E9">
        <w:rPr>
          <w:szCs w:val="26"/>
        </w:rPr>
        <w:t>, 114 FERC ¶ 61,304 (2006).</w:t>
      </w:r>
    </w:p>
  </w:footnote>
  <w:footnote w:id="98">
    <w:p w14:paraId="3BB0632E" w14:textId="77777777" w:rsidR="00AC4E31" w:rsidRDefault="00AC4E31" w:rsidP="00AC4E31">
      <w:pPr>
        <w:pStyle w:val="FootnoteText"/>
      </w:pPr>
      <w:r w:rsidRPr="0061651D">
        <w:rPr>
          <w:rStyle w:val="FootnoteReference"/>
        </w:rPr>
        <w:footnoteRef/>
      </w:r>
      <w:r w:rsidRPr="0061651D">
        <w:t xml:space="preserve"> 90 Fed. Reg. 22719 (May 29, 2025).</w:t>
      </w:r>
    </w:p>
  </w:footnote>
  <w:footnote w:id="99">
    <w:p w14:paraId="2FBDD218" w14:textId="22B91083" w:rsidR="000D32D4" w:rsidRDefault="000D32D4" w:rsidP="000D32D4">
      <w:pPr>
        <w:pStyle w:val="FootnoteText"/>
      </w:pPr>
      <w:r>
        <w:rPr>
          <w:rStyle w:val="FootnoteReference"/>
        </w:rPr>
        <w:footnoteRef/>
      </w:r>
      <w:r>
        <w:t xml:space="preserve"> </w:t>
      </w:r>
      <w:r w:rsidRPr="002454A0">
        <w:t xml:space="preserve">42 U.S.C. §§ 4321 </w:t>
      </w:r>
      <w:r w:rsidRPr="002454A0">
        <w:rPr>
          <w:i/>
          <w:iCs/>
        </w:rPr>
        <w:t>et seq.</w:t>
      </w:r>
      <w:r w:rsidRPr="00FF3E16">
        <w:t xml:space="preserve">, </w:t>
      </w:r>
      <w:r w:rsidRPr="002454A0">
        <w:rPr>
          <w:i/>
          <w:iCs/>
        </w:rPr>
        <w:t xml:space="preserve">see also </w:t>
      </w:r>
      <w:r w:rsidRPr="002454A0">
        <w:t>18 C.F.R. pt. 380 (202</w:t>
      </w:r>
      <w:r w:rsidR="004A479D">
        <w:t>5</w:t>
      </w:r>
      <w:r w:rsidRPr="002454A0">
        <w:t>) (Commission’s regulations implementing NEPA).</w:t>
      </w:r>
      <w:r>
        <w:t xml:space="preserve">  </w:t>
      </w:r>
      <w:r w:rsidRPr="00EF0D18">
        <w:t xml:space="preserve">The Council on Environmental Quality’s (CEQ) </w:t>
      </w:r>
      <w:r w:rsidR="00341657">
        <w:br/>
      </w:r>
      <w:r w:rsidRPr="00EF0D18">
        <w:t xml:space="preserve">final rule rescinding its NEPA regulations became effective on April 11, 2025.  90 Fed. Reg. 10610 (Feb. 25, 2025).  </w:t>
      </w:r>
    </w:p>
  </w:footnote>
  <w:footnote w:id="100">
    <w:p w14:paraId="2031AEB3" w14:textId="5FB013E5" w:rsidR="000D32D4" w:rsidRDefault="000D32D4" w:rsidP="000D32D4">
      <w:pPr>
        <w:pStyle w:val="FootnoteText"/>
      </w:pPr>
      <w:r>
        <w:rPr>
          <w:rStyle w:val="FootnoteReference"/>
        </w:rPr>
        <w:footnoteRef/>
      </w:r>
      <w:r w:rsidR="004A479D">
        <w:t xml:space="preserve"> </w:t>
      </w:r>
      <w:r w:rsidRPr="00302BB5">
        <w:t xml:space="preserve">For tracking purposes under </w:t>
      </w:r>
      <w:r>
        <w:t>NEPA</w:t>
      </w:r>
      <w:r w:rsidRPr="00302BB5">
        <w:t xml:space="preserve">, </w:t>
      </w:r>
      <w:r>
        <w:t>t</w:t>
      </w:r>
      <w:r w:rsidRPr="00F603BF">
        <w:t xml:space="preserve">he unique identification number for documents relating to this environmental review is </w:t>
      </w:r>
      <w:r w:rsidRPr="00585498">
        <w:t>EAXX-019-20-000-1751374027</w:t>
      </w:r>
      <w:r w:rsidRPr="00F603BF">
        <w:t>.</w:t>
      </w:r>
    </w:p>
  </w:footnote>
  <w:footnote w:id="101">
    <w:p w14:paraId="2D07C38C" w14:textId="5EC87DAB" w:rsidR="000D32D4" w:rsidRDefault="000D32D4" w:rsidP="000D32D4">
      <w:pPr>
        <w:pStyle w:val="FootnoteText"/>
      </w:pPr>
      <w:r>
        <w:rPr>
          <w:rStyle w:val="FootnoteReference"/>
        </w:rPr>
        <w:footnoteRef/>
      </w:r>
      <w:r>
        <w:t xml:space="preserve"> EA at 95.</w:t>
      </w:r>
      <w:r w:rsidRPr="00C42A13">
        <w:t xml:space="preserve"> </w:t>
      </w:r>
      <w:r>
        <w:t xml:space="preserve"> </w:t>
      </w:r>
      <w:bookmarkStart w:id="5" w:name="_Hlk191452654"/>
      <w:r w:rsidRPr="000E0867">
        <w:t xml:space="preserve">Commission staff could not determine whether the </w:t>
      </w:r>
      <w:r>
        <w:t>effects</w:t>
      </w:r>
      <w:r w:rsidRPr="000E0867">
        <w:t xml:space="preserve"> from </w:t>
      </w:r>
      <w:r>
        <w:t>GHG</w:t>
      </w:r>
      <w:r w:rsidRPr="000E0867">
        <w:t xml:space="preserve"> emissions attributable to the </w:t>
      </w:r>
      <w:r>
        <w:t>p</w:t>
      </w:r>
      <w:r w:rsidRPr="000E0867">
        <w:t xml:space="preserve">roject would be significant or insignificant.  </w:t>
      </w:r>
      <w:r w:rsidR="001C57FE">
        <w:rPr>
          <w:i/>
          <w:iCs/>
        </w:rPr>
        <w:t>S</w:t>
      </w:r>
      <w:r w:rsidRPr="00B64EB5">
        <w:rPr>
          <w:i/>
          <w:iCs/>
        </w:rPr>
        <w:t xml:space="preserve">ee </w:t>
      </w:r>
      <w:r w:rsidR="0054273B">
        <w:rPr>
          <w:i/>
          <w:iCs/>
        </w:rPr>
        <w:t xml:space="preserve">     </w:t>
      </w:r>
      <w:r w:rsidRPr="00B64EB5">
        <w:t>42 U.S.C. §</w:t>
      </w:r>
      <w:r w:rsidRPr="00B64EB5" w:rsidDel="009B7778">
        <w:t xml:space="preserve"> </w:t>
      </w:r>
      <w:r w:rsidRPr="00B64EB5">
        <w:t xml:space="preserve">4336(b)(2) (“An agency shall prepare an environmental assessment with respect to a proposed agency action that does not have a reasonably foreseeable significant effect on the quality of the human environment, or if the significance of </w:t>
      </w:r>
      <w:r w:rsidR="0054273B">
        <w:t xml:space="preserve">    </w:t>
      </w:r>
      <w:r w:rsidRPr="00B64EB5">
        <w:t>such effect is unknown</w:t>
      </w:r>
      <w:r>
        <w:t xml:space="preserve"> . . . .</w:t>
      </w:r>
      <w:r w:rsidRPr="00B64EB5">
        <w:t xml:space="preserve">”).  </w:t>
      </w:r>
      <w:r w:rsidRPr="00941AD8">
        <w:t>We note that NEPA</w:t>
      </w:r>
      <w:r w:rsidRPr="00941AD8">
        <w:rPr>
          <w:szCs w:val="22"/>
        </w:rPr>
        <w:t xml:space="preserve"> </w:t>
      </w:r>
      <w:r w:rsidRPr="00941AD8">
        <w:t xml:space="preserve">does not require that the Commission formally label project-related GHG emissions as significant or insignificant.  </w:t>
      </w:r>
      <w:r w:rsidRPr="00941AD8">
        <w:rPr>
          <w:i/>
          <w:iCs/>
        </w:rPr>
        <w:t>See Citizens Action Coal.</w:t>
      </w:r>
      <w:r>
        <w:rPr>
          <w:i/>
          <w:iCs/>
        </w:rPr>
        <w:t xml:space="preserve"> </w:t>
      </w:r>
      <w:r w:rsidRPr="00540E4D">
        <w:rPr>
          <w:i/>
          <w:iCs/>
        </w:rPr>
        <w:t>of Ind</w:t>
      </w:r>
      <w:r w:rsidR="00341657">
        <w:rPr>
          <w:i/>
          <w:iCs/>
        </w:rPr>
        <w:t>.</w:t>
      </w:r>
      <w:r w:rsidRPr="00540E4D">
        <w:rPr>
          <w:i/>
          <w:iCs/>
        </w:rPr>
        <w:t>, Inc.</w:t>
      </w:r>
      <w:r w:rsidRPr="00941AD8">
        <w:rPr>
          <w:i/>
          <w:iCs/>
        </w:rPr>
        <w:t xml:space="preserve"> v. FERC</w:t>
      </w:r>
      <w:r w:rsidRPr="00941AD8">
        <w:t>, 125 F.4th 229, 241-242 (D.C. Cir. 2025</w:t>
      </w:r>
      <w:r w:rsidRPr="00941AD8" w:rsidDel="00E73845">
        <w:t xml:space="preserve">) </w:t>
      </w:r>
      <w:r w:rsidRPr="00540E4D">
        <w:t>(</w:t>
      </w:r>
      <w:r w:rsidRPr="00941AD8">
        <w:t xml:space="preserve">holding that “the absence of a ‘significance’ label does not violate NEPA, CEQ guidance, or FERC regulations”) (citing </w:t>
      </w:r>
      <w:r w:rsidRPr="00540E4D">
        <w:rPr>
          <w:i/>
        </w:rPr>
        <w:t>Food &amp; Water Watch v. FERC</w:t>
      </w:r>
      <w:r w:rsidRPr="00540E4D">
        <w:t>, 104 F.4th 336, 346 (D.C. Cir. 2024) (</w:t>
      </w:r>
      <w:r w:rsidRPr="00540E4D">
        <w:rPr>
          <w:i/>
        </w:rPr>
        <w:t>East 300</w:t>
      </w:r>
      <w:r>
        <w:rPr>
          <w:iCs/>
        </w:rPr>
        <w:t>))</w:t>
      </w:r>
      <w:r w:rsidRPr="00941AD8">
        <w:t xml:space="preserve">; </w:t>
      </w:r>
      <w:r w:rsidRPr="00941AD8">
        <w:rPr>
          <w:i/>
          <w:iCs/>
        </w:rPr>
        <w:t>see also Transcon. Gas Pipe Line Co.</w:t>
      </w:r>
      <w:r w:rsidRPr="00941AD8">
        <w:t>, 187 FERC ¶ 61,200, at P 33 (2024) (applying</w:t>
      </w:r>
      <w:r>
        <w:t xml:space="preserve"> </w:t>
      </w:r>
      <w:r w:rsidRPr="00941AD8">
        <w:rPr>
          <w:i/>
          <w:iCs/>
        </w:rPr>
        <w:t>East 300</w:t>
      </w:r>
      <w:r w:rsidRPr="00941AD8">
        <w:t xml:space="preserve"> in the context of an EA).</w:t>
      </w:r>
      <w:bookmarkEnd w:id="5"/>
    </w:p>
  </w:footnote>
  <w:footnote w:id="102">
    <w:p w14:paraId="0E2CACE2" w14:textId="77777777" w:rsidR="000D32D4" w:rsidRPr="00291245" w:rsidRDefault="000D32D4" w:rsidP="000D32D4">
      <w:pPr>
        <w:pStyle w:val="FootnoteText"/>
        <w:rPr>
          <w:lang w:val="nb-NO"/>
        </w:rPr>
      </w:pPr>
      <w:r>
        <w:rPr>
          <w:rStyle w:val="FootnoteReference"/>
        </w:rPr>
        <w:footnoteRef/>
      </w:r>
      <w:r w:rsidRPr="00291245">
        <w:rPr>
          <w:lang w:val="nb-NO"/>
        </w:rPr>
        <w:t xml:space="preserve"> EA at 7. </w:t>
      </w:r>
    </w:p>
  </w:footnote>
  <w:footnote w:id="103">
    <w:p w14:paraId="073C27B8" w14:textId="3886AEDF" w:rsidR="002C091A" w:rsidRPr="001629C2" w:rsidRDefault="002C091A">
      <w:pPr>
        <w:pStyle w:val="FootnoteText"/>
        <w:rPr>
          <w:lang w:val="nb-NO"/>
        </w:rPr>
      </w:pPr>
      <w:r>
        <w:rPr>
          <w:rStyle w:val="FootnoteReference"/>
        </w:rPr>
        <w:footnoteRef/>
      </w:r>
      <w:r w:rsidRPr="001629C2">
        <w:rPr>
          <w:lang w:val="nb-NO"/>
        </w:rPr>
        <w:t xml:space="preserve"> </w:t>
      </w:r>
      <w:r w:rsidR="007D1FE1" w:rsidRPr="00291245">
        <w:rPr>
          <w:i/>
          <w:lang w:val="nb-NO"/>
        </w:rPr>
        <w:t>Id</w:t>
      </w:r>
      <w:r w:rsidR="007D1FE1" w:rsidRPr="00FF3E16">
        <w:rPr>
          <w:i/>
          <w:lang w:val="nb-NO"/>
        </w:rPr>
        <w:t xml:space="preserve">. </w:t>
      </w:r>
      <w:r w:rsidR="007D1FE1" w:rsidRPr="00291245">
        <w:rPr>
          <w:lang w:val="nb-NO"/>
        </w:rPr>
        <w:t>at 49-50</w:t>
      </w:r>
    </w:p>
  </w:footnote>
  <w:footnote w:id="104">
    <w:p w14:paraId="0F48B269" w14:textId="7AC0C0E7" w:rsidR="00DA6CB7" w:rsidRPr="001629C2" w:rsidRDefault="00DA6CB7">
      <w:pPr>
        <w:pStyle w:val="FootnoteText"/>
        <w:rPr>
          <w:lang w:val="nb-NO"/>
        </w:rPr>
      </w:pPr>
      <w:r>
        <w:rPr>
          <w:rStyle w:val="FootnoteReference"/>
        </w:rPr>
        <w:footnoteRef/>
      </w:r>
      <w:r w:rsidRPr="001629C2">
        <w:rPr>
          <w:lang w:val="nb-NO"/>
        </w:rPr>
        <w:t xml:space="preserve"> </w:t>
      </w:r>
      <w:r w:rsidRPr="001629C2">
        <w:rPr>
          <w:i/>
          <w:lang w:val="nb-NO"/>
        </w:rPr>
        <w:t>Id.</w:t>
      </w:r>
      <w:r w:rsidRPr="001629C2">
        <w:rPr>
          <w:lang w:val="nb-NO"/>
        </w:rPr>
        <w:t xml:space="preserve"> at 53.</w:t>
      </w:r>
    </w:p>
  </w:footnote>
  <w:footnote w:id="105">
    <w:p w14:paraId="49932C65" w14:textId="207F420F" w:rsidR="0008476C" w:rsidRPr="001629C2" w:rsidRDefault="0008476C">
      <w:pPr>
        <w:pStyle w:val="FootnoteText"/>
        <w:rPr>
          <w:lang w:val="nb-NO"/>
        </w:rPr>
      </w:pPr>
      <w:r>
        <w:rPr>
          <w:rStyle w:val="FootnoteReference"/>
        </w:rPr>
        <w:footnoteRef/>
      </w:r>
      <w:r w:rsidRPr="001629C2">
        <w:rPr>
          <w:lang w:val="nb-NO"/>
        </w:rPr>
        <w:t xml:space="preserve"> </w:t>
      </w:r>
      <w:r w:rsidRPr="001629C2">
        <w:rPr>
          <w:i/>
          <w:lang w:val="nb-NO"/>
        </w:rPr>
        <w:t xml:space="preserve">Id. </w:t>
      </w:r>
      <w:r w:rsidRPr="001629C2">
        <w:rPr>
          <w:lang w:val="nb-NO"/>
        </w:rPr>
        <w:t>at 56.</w:t>
      </w:r>
    </w:p>
  </w:footnote>
  <w:footnote w:id="106">
    <w:p w14:paraId="5D29FA7A" w14:textId="78E265E9" w:rsidR="004C026B" w:rsidRPr="001629C2" w:rsidRDefault="004C026B">
      <w:pPr>
        <w:pStyle w:val="FootnoteText"/>
        <w:rPr>
          <w:lang w:val="nb-NO"/>
        </w:rPr>
      </w:pPr>
      <w:r>
        <w:rPr>
          <w:rStyle w:val="FootnoteReference"/>
        </w:rPr>
        <w:footnoteRef/>
      </w:r>
      <w:r w:rsidRPr="001629C2">
        <w:rPr>
          <w:lang w:val="nb-NO"/>
        </w:rPr>
        <w:t xml:space="preserve"> </w:t>
      </w:r>
      <w:r w:rsidRPr="001629C2">
        <w:rPr>
          <w:i/>
          <w:lang w:val="nb-NO"/>
        </w:rPr>
        <w:t>Id.</w:t>
      </w:r>
      <w:r w:rsidRPr="001629C2">
        <w:rPr>
          <w:lang w:val="nb-NO"/>
        </w:rPr>
        <w:t xml:space="preserve"> at 49-50.</w:t>
      </w:r>
    </w:p>
  </w:footnote>
  <w:footnote w:id="107">
    <w:p w14:paraId="571BC397" w14:textId="05E05FE0" w:rsidR="00DC669A" w:rsidRPr="001629C2" w:rsidRDefault="00DC669A">
      <w:pPr>
        <w:pStyle w:val="FootnoteText"/>
        <w:rPr>
          <w:lang w:val="nb-NO"/>
        </w:rPr>
      </w:pPr>
      <w:r>
        <w:rPr>
          <w:rStyle w:val="FootnoteReference"/>
        </w:rPr>
        <w:footnoteRef/>
      </w:r>
      <w:r w:rsidRPr="001629C2">
        <w:rPr>
          <w:lang w:val="nb-NO"/>
        </w:rPr>
        <w:t xml:space="preserve"> </w:t>
      </w:r>
      <w:r w:rsidR="001964EE" w:rsidRPr="001629C2">
        <w:rPr>
          <w:i/>
          <w:lang w:val="nb-NO"/>
        </w:rPr>
        <w:t>Id.</w:t>
      </w:r>
      <w:r w:rsidR="001964EE" w:rsidRPr="001629C2">
        <w:rPr>
          <w:lang w:val="nb-NO"/>
        </w:rPr>
        <w:t xml:space="preserve"> at 53-54.</w:t>
      </w:r>
    </w:p>
  </w:footnote>
  <w:footnote w:id="108">
    <w:p w14:paraId="4567B154" w14:textId="01A8FC54" w:rsidR="001C34ED" w:rsidRPr="00664479" w:rsidRDefault="001C34ED">
      <w:pPr>
        <w:pStyle w:val="FootnoteText"/>
      </w:pPr>
      <w:r>
        <w:rPr>
          <w:rStyle w:val="FootnoteReference"/>
        </w:rPr>
        <w:footnoteRef/>
      </w:r>
      <w:r>
        <w:t xml:space="preserve"> </w:t>
      </w:r>
      <w:r w:rsidR="00664479">
        <w:rPr>
          <w:i/>
          <w:iCs/>
        </w:rPr>
        <w:t>Id.</w:t>
      </w:r>
      <w:r w:rsidR="00664479">
        <w:t xml:space="preserve"> at 58-59.</w:t>
      </w:r>
    </w:p>
  </w:footnote>
  <w:footnote w:id="109">
    <w:p w14:paraId="6879F2DF" w14:textId="45B9364A" w:rsidR="00FD0C13" w:rsidRDefault="00FD0C13" w:rsidP="00FD0C13">
      <w:pPr>
        <w:pStyle w:val="FootnoteText"/>
      </w:pPr>
      <w:r>
        <w:rPr>
          <w:rStyle w:val="FootnoteReference"/>
        </w:rPr>
        <w:footnoteRef/>
      </w:r>
      <w:r>
        <w:t xml:space="preserve"> </w:t>
      </w:r>
      <w:r w:rsidR="00E6214B">
        <w:rPr>
          <w:i/>
          <w:iCs/>
        </w:rPr>
        <w:t>Id.</w:t>
      </w:r>
      <w:r>
        <w:t xml:space="preserve"> at 95.</w:t>
      </w:r>
    </w:p>
  </w:footnote>
  <w:footnote w:id="110">
    <w:p w14:paraId="6727706E" w14:textId="78E672C5" w:rsidR="002E24B0" w:rsidRDefault="002E24B0" w:rsidP="002E24B0">
      <w:pPr>
        <w:pStyle w:val="FootnoteText"/>
      </w:pPr>
      <w:r>
        <w:rPr>
          <w:rStyle w:val="FootnoteReference"/>
        </w:rPr>
        <w:footnoteRef/>
      </w:r>
      <w:r w:rsidRPr="00291245">
        <w:rPr>
          <w:i/>
        </w:rPr>
        <w:t xml:space="preserve"> See, e.g.</w:t>
      </w:r>
      <w:r>
        <w:t xml:space="preserve">, </w:t>
      </w:r>
      <w:r w:rsidRPr="005A68DF">
        <w:t xml:space="preserve">Sierra Club November 3, 2025 </w:t>
      </w:r>
      <w:r>
        <w:t>C</w:t>
      </w:r>
      <w:r w:rsidRPr="005A68DF">
        <w:t>omments</w:t>
      </w:r>
      <w:r>
        <w:t xml:space="preserve"> at 2.</w:t>
      </w:r>
    </w:p>
  </w:footnote>
  <w:footnote w:id="111">
    <w:p w14:paraId="14B4B2DE" w14:textId="123BF330" w:rsidR="00CA663B" w:rsidRDefault="00CA663B">
      <w:pPr>
        <w:pStyle w:val="FootnoteText"/>
      </w:pPr>
      <w:r>
        <w:rPr>
          <w:rStyle w:val="FootnoteReference"/>
        </w:rPr>
        <w:footnoteRef/>
      </w:r>
      <w:r>
        <w:t xml:space="preserve"> </w:t>
      </w:r>
      <w:r w:rsidR="00C96884" w:rsidRPr="0095267C">
        <w:t>42 U.S.C. § 4336(b)(1)</w:t>
      </w:r>
      <w:r w:rsidR="00C96884" w:rsidRPr="00C96884">
        <w:t>.</w:t>
      </w:r>
    </w:p>
  </w:footnote>
  <w:footnote w:id="112">
    <w:p w14:paraId="2C95F298" w14:textId="0286CDEC" w:rsidR="00C96884" w:rsidRPr="004B744F" w:rsidRDefault="00C96884">
      <w:pPr>
        <w:pStyle w:val="FootnoteText"/>
      </w:pPr>
      <w:r>
        <w:rPr>
          <w:rStyle w:val="FootnoteReference"/>
        </w:rPr>
        <w:footnoteRef/>
      </w:r>
      <w:r>
        <w:t xml:space="preserve"> </w:t>
      </w:r>
      <w:r w:rsidR="004B744F">
        <w:rPr>
          <w:i/>
          <w:iCs/>
        </w:rPr>
        <w:t>Id.</w:t>
      </w:r>
      <w:r w:rsidR="004B744F">
        <w:t xml:space="preserve"> § 4336(b)(2).</w:t>
      </w:r>
    </w:p>
  </w:footnote>
  <w:footnote w:id="113">
    <w:p w14:paraId="6D1E2090" w14:textId="658B9C12" w:rsidR="00674272" w:rsidRPr="006A2A08" w:rsidRDefault="00674272" w:rsidP="00674272">
      <w:pPr>
        <w:pStyle w:val="FootnoteText"/>
      </w:pPr>
      <w:r>
        <w:rPr>
          <w:rStyle w:val="FootnoteReference"/>
        </w:rPr>
        <w:footnoteRef/>
      </w:r>
      <w:r>
        <w:t xml:space="preserve"> </w:t>
      </w:r>
      <w:r w:rsidRPr="008838CE">
        <w:rPr>
          <w:i/>
          <w:iCs/>
        </w:rPr>
        <w:t>New York v. Nuclear Regul. Comm</w:t>
      </w:r>
      <w:r>
        <w:rPr>
          <w:i/>
          <w:iCs/>
        </w:rPr>
        <w:t>’</w:t>
      </w:r>
      <w:r w:rsidRPr="008838CE">
        <w:rPr>
          <w:i/>
          <w:iCs/>
        </w:rPr>
        <w:t>n</w:t>
      </w:r>
      <w:r>
        <w:t xml:space="preserve">, 681 F.3d 471, 477 (D.C. Cir. 2012); </w:t>
      </w:r>
      <w:r>
        <w:rPr>
          <w:i/>
          <w:iCs/>
        </w:rPr>
        <w:t>see also</w:t>
      </w:r>
      <w:r>
        <w:t xml:space="preserve"> </w:t>
      </w:r>
      <w:r w:rsidRPr="008838CE">
        <w:rPr>
          <w:i/>
          <w:iCs/>
        </w:rPr>
        <w:t>TOMAC, Taxpayers of Michigan Against Casinos v. Norton</w:t>
      </w:r>
      <w:r>
        <w:t xml:space="preserve">, 433 F.3d 852, </w:t>
      </w:r>
      <w:r w:rsidR="0054273B">
        <w:t xml:space="preserve">          </w:t>
      </w:r>
      <w:r>
        <w:t xml:space="preserve">861 (D.C. Cir. 2006) (explaining that an agency’s evaluation of the consequences </w:t>
      </w:r>
      <w:r w:rsidR="0054273B">
        <w:t xml:space="preserve">         </w:t>
      </w:r>
      <w:r>
        <w:t xml:space="preserve">on the quality of the human environment is left to the judgment of the agency).  </w:t>
      </w:r>
    </w:p>
  </w:footnote>
  <w:footnote w:id="114">
    <w:p w14:paraId="5DCC2CD4" w14:textId="77777777" w:rsidR="00D92A09" w:rsidRDefault="00D92A09" w:rsidP="00D92A09">
      <w:pPr>
        <w:pStyle w:val="FootnoteText"/>
      </w:pPr>
      <w:r>
        <w:rPr>
          <w:rStyle w:val="FootnoteReference"/>
        </w:rPr>
        <w:footnoteRef/>
      </w:r>
      <w:r>
        <w:t xml:space="preserve"> EA at 95.</w:t>
      </w:r>
      <w:r w:rsidRPr="00C42A13">
        <w:t xml:space="preserve"> </w:t>
      </w:r>
      <w:r>
        <w:t xml:space="preserve"> </w:t>
      </w:r>
    </w:p>
  </w:footnote>
  <w:footnote w:id="115">
    <w:p w14:paraId="2C8A0689" w14:textId="138F5022" w:rsidR="000D7F5F" w:rsidRPr="00371E25" w:rsidRDefault="000D7F5F" w:rsidP="000D7F5F">
      <w:pPr>
        <w:pStyle w:val="FootnoteText"/>
        <w:rPr>
          <w:b/>
        </w:rPr>
      </w:pPr>
      <w:r w:rsidRPr="00044A83">
        <w:rPr>
          <w:rStyle w:val="FootnoteReference"/>
        </w:rPr>
        <w:footnoteRef/>
      </w:r>
      <w:r w:rsidRPr="00371E25">
        <w:t xml:space="preserve"> </w:t>
      </w:r>
      <w:r w:rsidRPr="001610C2">
        <w:rPr>
          <w:i/>
          <w:szCs w:val="26"/>
        </w:rPr>
        <w:t>Se</w:t>
      </w:r>
      <w:r>
        <w:rPr>
          <w:i/>
          <w:szCs w:val="26"/>
        </w:rPr>
        <w:t>e, e.g.</w:t>
      </w:r>
      <w:r>
        <w:rPr>
          <w:iCs/>
          <w:szCs w:val="26"/>
        </w:rPr>
        <w:t>, Carly Diaz October 27, 2025 Comments</w:t>
      </w:r>
      <w:r w:rsidR="00936127">
        <w:rPr>
          <w:iCs/>
          <w:szCs w:val="26"/>
        </w:rPr>
        <w:t>;</w:t>
      </w:r>
      <w:r>
        <w:rPr>
          <w:iCs/>
          <w:szCs w:val="26"/>
        </w:rPr>
        <w:t xml:space="preserve"> Katherine Williams October 27, 2025 Comments</w:t>
      </w:r>
      <w:r w:rsidR="00936127">
        <w:rPr>
          <w:iCs/>
          <w:szCs w:val="26"/>
        </w:rPr>
        <w:t>;</w:t>
      </w:r>
      <w:r>
        <w:rPr>
          <w:iCs/>
          <w:szCs w:val="26"/>
        </w:rPr>
        <w:t xml:space="preserve"> Nancy Trevino October 27, 2025 Comments</w:t>
      </w:r>
      <w:r w:rsidR="00936127">
        <w:rPr>
          <w:iCs/>
          <w:szCs w:val="26"/>
        </w:rPr>
        <w:t>;</w:t>
      </w:r>
      <w:r>
        <w:rPr>
          <w:iCs/>
          <w:szCs w:val="26"/>
        </w:rPr>
        <w:t xml:space="preserve"> </w:t>
      </w:r>
      <w:r w:rsidRPr="000944EB">
        <w:rPr>
          <w:iCs/>
          <w:szCs w:val="26"/>
        </w:rPr>
        <w:t>7 Directions of Service</w:t>
      </w:r>
      <w:r>
        <w:rPr>
          <w:iCs/>
          <w:szCs w:val="26"/>
        </w:rPr>
        <w:t xml:space="preserve"> November 3, 2025 Comments</w:t>
      </w:r>
      <w:r w:rsidR="00936127">
        <w:rPr>
          <w:iCs/>
          <w:szCs w:val="26"/>
        </w:rPr>
        <w:t>;</w:t>
      </w:r>
      <w:r>
        <w:rPr>
          <w:iCs/>
          <w:szCs w:val="26"/>
        </w:rPr>
        <w:t xml:space="preserve"> and </w:t>
      </w:r>
      <w:r w:rsidRPr="0046761A">
        <w:t xml:space="preserve">Appalachian </w:t>
      </w:r>
      <w:r w:rsidR="00F5770E">
        <w:t>Mountain Advocates</w:t>
      </w:r>
      <w:r w:rsidRPr="0046761A">
        <w:t xml:space="preserve"> November 3, 2025 Comments at 8</w:t>
      </w:r>
      <w:r w:rsidR="00BC124C">
        <w:t>-</w:t>
      </w:r>
      <w:r>
        <w:t>9</w:t>
      </w:r>
      <w:r w:rsidRPr="00371E25">
        <w:t>.</w:t>
      </w:r>
    </w:p>
  </w:footnote>
  <w:footnote w:id="116">
    <w:p w14:paraId="54DC125F" w14:textId="4048FD3A" w:rsidR="00BE7052" w:rsidRPr="00B9158D" w:rsidRDefault="00BE7052" w:rsidP="00BE7052">
      <w:pPr>
        <w:pStyle w:val="FootnoteText"/>
      </w:pPr>
      <w:r>
        <w:rPr>
          <w:rStyle w:val="FootnoteReference"/>
        </w:rPr>
        <w:footnoteRef/>
      </w:r>
      <w:r w:rsidRPr="00B9158D">
        <w:t xml:space="preserve"> Appalachian </w:t>
      </w:r>
      <w:r w:rsidR="00DC214B">
        <w:t>Mountain Advocates</w:t>
      </w:r>
      <w:r w:rsidRPr="00B9158D">
        <w:t xml:space="preserve"> November 3, 2025 Comments at 8</w:t>
      </w:r>
      <w:r w:rsidR="00BC124C">
        <w:t>-</w:t>
      </w:r>
      <w:r w:rsidRPr="00B9158D">
        <w:t>9.</w:t>
      </w:r>
    </w:p>
  </w:footnote>
  <w:footnote w:id="117">
    <w:p w14:paraId="4816C6A9" w14:textId="24434769" w:rsidR="00DB7B2F" w:rsidRDefault="00DB7B2F">
      <w:pPr>
        <w:pStyle w:val="FootnoteText"/>
      </w:pPr>
      <w:r>
        <w:rPr>
          <w:rStyle w:val="FootnoteReference"/>
        </w:rPr>
        <w:footnoteRef/>
      </w:r>
      <w:r>
        <w:t xml:space="preserve"> </w:t>
      </w:r>
      <w:r w:rsidR="00120D8E" w:rsidRPr="00FB7DA7">
        <w:rPr>
          <w:i/>
        </w:rPr>
        <w:t>Marsh v. Or. Nat. Res. Council</w:t>
      </w:r>
      <w:r w:rsidR="00120D8E" w:rsidRPr="00993762">
        <w:t>, 490 U.S. 360, 373 (1989)</w:t>
      </w:r>
      <w:r w:rsidR="00C65186" w:rsidRPr="00C65186">
        <w:t>; </w:t>
      </w:r>
      <w:r w:rsidR="00120D8E" w:rsidRPr="00FB7DA7">
        <w:rPr>
          <w:i/>
        </w:rPr>
        <w:t>Friends of the River v. FERC</w:t>
      </w:r>
      <w:r w:rsidR="00120D8E" w:rsidRPr="00993762">
        <w:t>, 720 F.2d 93, 109-10 (D.C. Cir. 1983)</w:t>
      </w:r>
      <w:r w:rsidR="00C65186" w:rsidRPr="00C65186">
        <w:t>; </w:t>
      </w:r>
      <w:r w:rsidR="00C65186" w:rsidRPr="00C65186">
        <w:rPr>
          <w:i/>
          <w:iCs/>
        </w:rPr>
        <w:t>see also </w:t>
      </w:r>
      <w:r w:rsidR="00120D8E" w:rsidRPr="008838CE">
        <w:rPr>
          <w:i/>
          <w:iCs/>
        </w:rPr>
        <w:t>Friends of Cap. Crescent Trail v. FTA</w:t>
      </w:r>
      <w:r w:rsidR="00120D8E" w:rsidRPr="00993762">
        <w:t>, 877 F.3d 1051, 1059 (D.C. Cir. 2017)</w:t>
      </w:r>
      <w:r w:rsidR="00C65186" w:rsidRPr="00C65186">
        <w:t> (</w:t>
      </w:r>
      <w:r w:rsidR="00C65186" w:rsidRPr="00C65186">
        <w:rPr>
          <w:i/>
          <w:iCs/>
        </w:rPr>
        <w:t>Friends of Cap. Crescent Trail</w:t>
      </w:r>
      <w:r w:rsidR="00C65186" w:rsidRPr="00C65186">
        <w:t>) (“If an agency</w:t>
      </w:r>
      <w:r w:rsidR="00C65186">
        <w:t>’</w:t>
      </w:r>
      <w:r w:rsidR="00C65186" w:rsidRPr="00C65186">
        <w:t>s decision not to prepare a [</w:t>
      </w:r>
      <w:r w:rsidR="00C65186" w:rsidRPr="00993762">
        <w:t>supplemental</w:t>
      </w:r>
      <w:r w:rsidR="00C65186" w:rsidRPr="00C65186">
        <w:t> </w:t>
      </w:r>
      <w:r w:rsidR="00C65186" w:rsidRPr="00993762">
        <w:t>EIS</w:t>
      </w:r>
      <w:r w:rsidR="00C65186" w:rsidRPr="00C65186">
        <w:t>] turns on a factual dispute the resolution of which implicated substantial agency expertise, the court defers to the agency's judgment.”) (quoting</w:t>
      </w:r>
      <w:r w:rsidR="00120D8E">
        <w:rPr>
          <w:i/>
          <w:iCs/>
        </w:rPr>
        <w:t xml:space="preserve"> </w:t>
      </w:r>
      <w:r w:rsidR="00120D8E" w:rsidRPr="00993762">
        <w:t>Marsh, 490 U.S. at 376</w:t>
      </w:r>
      <w:r w:rsidR="00C65186" w:rsidRPr="00C65186">
        <w:t>)</w:t>
      </w:r>
      <w:r w:rsidR="004172EA">
        <w:t xml:space="preserve">; </w:t>
      </w:r>
      <w:r w:rsidR="004172EA" w:rsidRPr="00FB7DA7">
        <w:rPr>
          <w:i/>
          <w:iCs/>
        </w:rPr>
        <w:t>Seven Cnty. Infrastructure Coal. v. Eagle Cnty., Colo.</w:t>
      </w:r>
      <w:r w:rsidR="004172EA" w:rsidRPr="00993762">
        <w:t xml:space="preserve">, </w:t>
      </w:r>
      <w:r w:rsidR="006367BB">
        <w:t>605 U</w:t>
      </w:r>
      <w:r w:rsidR="00F243CA">
        <w:t>.</w:t>
      </w:r>
      <w:r w:rsidR="00F62F26">
        <w:t>S.</w:t>
      </w:r>
      <w:r w:rsidR="00EA43EF">
        <w:t xml:space="preserve"> 168</w:t>
      </w:r>
      <w:r w:rsidR="00760E1C">
        <w:t xml:space="preserve">, </w:t>
      </w:r>
      <w:r w:rsidR="00427F9B">
        <w:t>183</w:t>
      </w:r>
      <w:r w:rsidR="004172EA" w:rsidRPr="00993762">
        <w:t xml:space="preserve"> (2025)</w:t>
      </w:r>
      <w:r w:rsidR="004172EA" w:rsidRPr="00120D8E">
        <w:t> </w:t>
      </w:r>
      <w:r w:rsidR="00AA2DFA">
        <w:t>(</w:t>
      </w:r>
      <w:r w:rsidR="00AA2DFA">
        <w:rPr>
          <w:i/>
          <w:iCs/>
        </w:rPr>
        <w:t>Seven Cnty.</w:t>
      </w:r>
      <w:r w:rsidR="00AA2DFA">
        <w:t xml:space="preserve">) </w:t>
      </w:r>
      <w:r w:rsidR="004172EA" w:rsidRPr="00120D8E">
        <w:t>(“As the Court has emphasized on several occasions, and we doubly underscore again today, ‘inherent in NEPA ... is a “rule of reason,” which ensures that agencies determine whether and to what extent to prepare an EIS based on the usefulness of any new potential information to the decisionmaking process.”’)</w:t>
      </w:r>
      <w:r w:rsidR="00390D83">
        <w:t>.</w:t>
      </w:r>
    </w:p>
  </w:footnote>
  <w:footnote w:id="118">
    <w:p w14:paraId="58D707D0" w14:textId="0BD83941" w:rsidR="00DB7B2F" w:rsidRDefault="00DB7B2F">
      <w:pPr>
        <w:pStyle w:val="FootnoteText"/>
      </w:pPr>
      <w:r>
        <w:rPr>
          <w:rStyle w:val="FootnoteReference"/>
        </w:rPr>
        <w:footnoteRef/>
      </w:r>
      <w:r>
        <w:t xml:space="preserve"> </w:t>
      </w:r>
      <w:r w:rsidR="001F4521" w:rsidRPr="001F4521">
        <w:rPr>
          <w:i/>
          <w:iCs/>
        </w:rPr>
        <w:t>Marsh</w:t>
      </w:r>
      <w:r w:rsidR="001F4521" w:rsidRPr="001F4521">
        <w:t>, 490 U.S. at 374</w:t>
      </w:r>
      <w:r w:rsidR="001F4521">
        <w:t>.</w:t>
      </w:r>
    </w:p>
  </w:footnote>
  <w:footnote w:id="119">
    <w:p w14:paraId="736E3597" w14:textId="074C3EEC" w:rsidR="00DB7B2F" w:rsidRDefault="00DB7B2F">
      <w:pPr>
        <w:pStyle w:val="FootnoteText"/>
      </w:pPr>
      <w:r>
        <w:rPr>
          <w:rStyle w:val="FootnoteReference"/>
        </w:rPr>
        <w:footnoteRef/>
      </w:r>
      <w:r>
        <w:t xml:space="preserve"> </w:t>
      </w:r>
      <w:r w:rsidR="00120D8E" w:rsidRPr="00FB7DA7">
        <w:rPr>
          <w:i/>
          <w:iCs/>
        </w:rPr>
        <w:t>Stand Up for Cal. v. Dep</w:t>
      </w:r>
      <w:r w:rsidR="00120D8E" w:rsidRPr="009224AB">
        <w:rPr>
          <w:i/>
          <w:iCs/>
        </w:rPr>
        <w:t>’</w:t>
      </w:r>
      <w:r w:rsidR="00120D8E" w:rsidRPr="00FB7DA7">
        <w:rPr>
          <w:i/>
          <w:iCs/>
        </w:rPr>
        <w:t>t of the Interior</w:t>
      </w:r>
      <w:r w:rsidR="00120D8E" w:rsidRPr="00993762">
        <w:t>, 994 F.3d 616, 629 (D.C. Cir. 2021)</w:t>
      </w:r>
      <w:r w:rsidR="00120D8E" w:rsidRPr="00120D8E">
        <w:t> (</w:t>
      </w:r>
      <w:r w:rsidR="00120D8E" w:rsidRPr="00120D8E">
        <w:rPr>
          <w:i/>
          <w:iCs/>
        </w:rPr>
        <w:t>Stand Up for Cal</w:t>
      </w:r>
      <w:r w:rsidR="00120D8E" w:rsidRPr="00120D8E">
        <w:t>.) (emphasis in original) (quoting </w:t>
      </w:r>
      <w:r w:rsidR="00120D8E" w:rsidRPr="00FB7DA7">
        <w:rPr>
          <w:i/>
          <w:iCs/>
        </w:rPr>
        <w:t>Friends of Cap. Crescent Trail</w:t>
      </w:r>
      <w:r w:rsidR="00120D8E" w:rsidRPr="00993762">
        <w:t>, 877 F.3d at 1060</w:t>
      </w:r>
      <w:r w:rsidR="00120D8E" w:rsidRPr="00120D8E">
        <w:t> (internal quotation marks omitted)); </w:t>
      </w:r>
      <w:r w:rsidR="00120D8E" w:rsidRPr="00120D8E">
        <w:rPr>
          <w:i/>
          <w:iCs/>
        </w:rPr>
        <w:t>see also </w:t>
      </w:r>
      <w:r w:rsidR="00120D8E" w:rsidRPr="00FB7DA7">
        <w:rPr>
          <w:i/>
          <w:iCs/>
        </w:rPr>
        <w:t>Laguna Greenbelt, Inc. v. U.S. Dep</w:t>
      </w:r>
      <w:r w:rsidR="00936127" w:rsidRPr="00C22990">
        <w:rPr>
          <w:i/>
          <w:iCs/>
        </w:rPr>
        <w:t>’</w:t>
      </w:r>
      <w:r w:rsidR="00120D8E" w:rsidRPr="00FB7DA7">
        <w:rPr>
          <w:i/>
          <w:iCs/>
        </w:rPr>
        <w:t>t of Transp</w:t>
      </w:r>
      <w:r w:rsidR="00120D8E" w:rsidRPr="00C22990">
        <w:rPr>
          <w:i/>
          <w:iCs/>
        </w:rPr>
        <w:t>.</w:t>
      </w:r>
      <w:r w:rsidR="00120D8E" w:rsidRPr="00993762">
        <w:t>, 42</w:t>
      </w:r>
      <w:r w:rsidR="00120D8E">
        <w:t> </w:t>
      </w:r>
      <w:r w:rsidR="00120D8E" w:rsidRPr="00993762">
        <w:t>F.3d 517, 529 (9th Cir. 1994)</w:t>
      </w:r>
      <w:r w:rsidR="00120D8E" w:rsidRPr="00120D8E">
        <w:t> (</w:t>
      </w:r>
      <w:r w:rsidR="00120D8E" w:rsidRPr="00993762">
        <w:t>supplemental</w:t>
      </w:r>
      <w:r w:rsidR="00120D8E" w:rsidRPr="00120D8E">
        <w:t> </w:t>
      </w:r>
      <w:r w:rsidR="00120D8E" w:rsidRPr="00993762">
        <w:t>EIS</w:t>
      </w:r>
      <w:r w:rsidR="00120D8E" w:rsidRPr="00120D8E">
        <w:t> not required to assess impact of fires when agency took requisite “hard look,” relying on scientific expertise of two coordinating agencies who concluded no new significant impacts resulted); </w:t>
      </w:r>
      <w:r w:rsidR="00E34D0C" w:rsidRPr="00FB7DA7">
        <w:rPr>
          <w:i/>
          <w:iCs/>
        </w:rPr>
        <w:t>Animal Def. Council v. Hodel</w:t>
      </w:r>
      <w:r w:rsidR="00E34D0C" w:rsidRPr="00993762">
        <w:t>, 840 F.2d 1432, 1439 (9th Cir. 1988)</w:t>
      </w:r>
      <w:r w:rsidR="00120D8E" w:rsidRPr="00120D8E">
        <w:t> (agency decision not to supplement EIS in light of new information was reasonable where agency “carefully considered the information, evaluated its impact, and supported its decision not to supplement with a statement of explanation”).</w:t>
      </w:r>
    </w:p>
  </w:footnote>
  <w:footnote w:id="120">
    <w:p w14:paraId="51D44289" w14:textId="1D287044" w:rsidR="00235080" w:rsidRDefault="00235080" w:rsidP="00235080">
      <w:pPr>
        <w:pStyle w:val="FootnoteText"/>
      </w:pPr>
      <w:r>
        <w:rPr>
          <w:rStyle w:val="FootnoteReference"/>
        </w:rPr>
        <w:footnoteRef/>
      </w:r>
      <w:r>
        <w:t xml:space="preserve"> </w:t>
      </w:r>
      <w:r w:rsidRPr="0084481E">
        <w:rPr>
          <w:i/>
          <w:iCs/>
        </w:rPr>
        <w:t>Seven Cnty.</w:t>
      </w:r>
      <w:r w:rsidRPr="00D37CCC">
        <w:t xml:space="preserve">, </w:t>
      </w:r>
      <w:r w:rsidR="00AA2DFA">
        <w:t>605 U.S. at 181-83</w:t>
      </w:r>
      <w:r>
        <w:t>.</w:t>
      </w:r>
    </w:p>
  </w:footnote>
  <w:footnote w:id="121">
    <w:p w14:paraId="054012A2" w14:textId="54F38FD2" w:rsidR="004C50F2" w:rsidRDefault="004C50F2">
      <w:pPr>
        <w:pStyle w:val="FootnoteText"/>
      </w:pPr>
      <w:r>
        <w:rPr>
          <w:rStyle w:val="FootnoteReference"/>
        </w:rPr>
        <w:footnoteRef/>
      </w:r>
      <w:r>
        <w:t xml:space="preserve"> EA at 95.</w:t>
      </w:r>
    </w:p>
  </w:footnote>
  <w:footnote w:id="122">
    <w:p w14:paraId="367B776B" w14:textId="77777777" w:rsidR="000D7F5F" w:rsidRPr="00B9158D" w:rsidRDefault="000D7F5F" w:rsidP="000D7F5F">
      <w:pPr>
        <w:pStyle w:val="FootnoteText"/>
      </w:pPr>
      <w:r>
        <w:rPr>
          <w:rStyle w:val="FootnoteReference"/>
        </w:rPr>
        <w:footnoteRef/>
      </w:r>
      <w:r w:rsidRPr="00B9158D">
        <w:t xml:space="preserve"> </w:t>
      </w:r>
      <w:r w:rsidRPr="00B9158D">
        <w:rPr>
          <w:i/>
        </w:rPr>
        <w:t>Id</w:t>
      </w:r>
      <w:r w:rsidRPr="00993762">
        <w:rPr>
          <w:i/>
        </w:rPr>
        <w:t>.</w:t>
      </w:r>
      <w:r w:rsidRPr="00B9158D">
        <w:t xml:space="preserve"> at 4.</w:t>
      </w:r>
    </w:p>
  </w:footnote>
  <w:footnote w:id="123">
    <w:p w14:paraId="5349936B" w14:textId="77777777" w:rsidR="00F251F5" w:rsidRDefault="00F251F5" w:rsidP="00F251F5">
      <w:pPr>
        <w:pStyle w:val="FootnoteText"/>
      </w:pPr>
      <w:r>
        <w:rPr>
          <w:rStyle w:val="FootnoteReference"/>
        </w:rPr>
        <w:footnoteRef/>
      </w:r>
      <w:r>
        <w:t xml:space="preserve"> </w:t>
      </w:r>
      <w:r w:rsidRPr="009E1D77">
        <w:rPr>
          <w:i/>
          <w:iCs/>
        </w:rPr>
        <w:t>Marysville Hydro Partners</w:t>
      </w:r>
      <w:r w:rsidRPr="006733D6">
        <w:t>, 62 FERC ¶ 61,011,</w:t>
      </w:r>
      <w:r>
        <w:t xml:space="preserve"> at</w:t>
      </w:r>
      <w:r w:rsidRPr="006733D6">
        <w:t xml:space="preserve"> 61,037 (1993)</w:t>
      </w:r>
      <w:r>
        <w:t xml:space="preserve"> (citing </w:t>
      </w:r>
      <w:r w:rsidRPr="004C5DE8">
        <w:rPr>
          <w:i/>
          <w:iCs/>
        </w:rPr>
        <w:t>Jones v. Lynn</w:t>
      </w:r>
      <w:r w:rsidRPr="006733D6">
        <w:t>, 477 F.2d 885, 890 (1st Cir. 1977)</w:t>
      </w:r>
      <w:r>
        <w:t xml:space="preserve">).  </w:t>
      </w:r>
    </w:p>
  </w:footnote>
  <w:footnote w:id="124">
    <w:p w14:paraId="37BB65DD" w14:textId="6F2E4398" w:rsidR="00F56F87" w:rsidRDefault="00F56F87" w:rsidP="00F56F87">
      <w:pPr>
        <w:pStyle w:val="FootnoteText"/>
      </w:pPr>
      <w:r>
        <w:rPr>
          <w:rStyle w:val="FootnoteReference"/>
        </w:rPr>
        <w:footnoteRef/>
      </w:r>
      <w:r>
        <w:t xml:space="preserve"> </w:t>
      </w:r>
      <w:r w:rsidRPr="004C21F3">
        <w:rPr>
          <w:i/>
          <w:szCs w:val="26"/>
        </w:rPr>
        <w:t>See</w:t>
      </w:r>
      <w:r w:rsidRPr="00291245">
        <w:rPr>
          <w:i/>
          <w:szCs w:val="26"/>
        </w:rPr>
        <w:t>, e.g.</w:t>
      </w:r>
      <w:r>
        <w:rPr>
          <w:iCs/>
          <w:szCs w:val="26"/>
        </w:rPr>
        <w:t>, Jessica Sims October 22, 2025 Comments</w:t>
      </w:r>
      <w:r w:rsidR="00936127">
        <w:rPr>
          <w:iCs/>
          <w:szCs w:val="26"/>
        </w:rPr>
        <w:t>;</w:t>
      </w:r>
      <w:r>
        <w:t xml:space="preserve"> </w:t>
      </w:r>
      <w:r w:rsidRPr="00CE0E06">
        <w:t>Joshua Vana November 3, 2025 Comments.</w:t>
      </w:r>
    </w:p>
  </w:footnote>
  <w:footnote w:id="125">
    <w:p w14:paraId="2B3F9412" w14:textId="358A335F" w:rsidR="00F56F87" w:rsidRDefault="00F56F87" w:rsidP="00F56F87">
      <w:pPr>
        <w:pStyle w:val="FootnoteText"/>
      </w:pPr>
      <w:r>
        <w:rPr>
          <w:rStyle w:val="FootnoteReference"/>
        </w:rPr>
        <w:footnoteRef/>
      </w:r>
      <w:r>
        <w:t xml:space="preserve"> </w:t>
      </w:r>
      <w:r w:rsidR="00091BBC" w:rsidRPr="00091BBC">
        <w:t>Protect Our Water, Heritage, Rights</w:t>
      </w:r>
      <w:r>
        <w:t xml:space="preserve"> November 3, 2025 Comments at 1-2.</w:t>
      </w:r>
    </w:p>
  </w:footnote>
  <w:footnote w:id="126">
    <w:p w14:paraId="4AA450AB" w14:textId="3367A69D" w:rsidR="00B46F4F" w:rsidRDefault="00B46F4F">
      <w:pPr>
        <w:pStyle w:val="FootnoteText"/>
      </w:pPr>
      <w:r>
        <w:rPr>
          <w:rStyle w:val="FootnoteReference"/>
        </w:rPr>
        <w:footnoteRef/>
      </w:r>
      <w:r>
        <w:t xml:space="preserve"> </w:t>
      </w:r>
      <w:r w:rsidR="00915668" w:rsidRPr="00915668">
        <w:rPr>
          <w:i/>
          <w:iCs/>
        </w:rPr>
        <w:t>See</w:t>
      </w:r>
      <w:r w:rsidR="00915668" w:rsidRPr="00915668">
        <w:t xml:space="preserve"> FERC, Staff Guidance Manual on Implementation of NEPA at 8 (June 2025), </w:t>
      </w:r>
      <w:hyperlink r:id="rId1" w:history="1">
        <w:r w:rsidR="00915668" w:rsidRPr="00915668">
          <w:rPr>
            <w:rStyle w:val="Hyperlink"/>
          </w:rPr>
          <w:t>https://www.ferc.gov/media/staff-guidance-manual-implementation-national-environmental-policy-act-june-2025</w:t>
        </w:r>
      </w:hyperlink>
      <w:r w:rsidR="00915668" w:rsidRPr="00915668">
        <w:t xml:space="preserve"> (“Where staff solicits comments on an environmental assessment, the comment period will be 30 days”)</w:t>
      </w:r>
      <w:r>
        <w:t>.</w:t>
      </w:r>
    </w:p>
  </w:footnote>
  <w:footnote w:id="127">
    <w:p w14:paraId="21A27A39" w14:textId="28B84447" w:rsidR="00FA2FBB" w:rsidRDefault="00FA2FBB">
      <w:pPr>
        <w:pStyle w:val="FootnoteText"/>
      </w:pPr>
      <w:r>
        <w:rPr>
          <w:rStyle w:val="FootnoteReference"/>
        </w:rPr>
        <w:footnoteRef/>
      </w:r>
      <w:r>
        <w:t xml:space="preserve"> </w:t>
      </w:r>
      <w:r w:rsidR="009F6A95" w:rsidRPr="009F6A95">
        <w:t xml:space="preserve">Moreover, commenters could, and indeed did, comment on the effects of the proposed Southeast Supply Enhancement Project and the Amendment Project in this docket despite the EA comment period not being aligned.  </w:t>
      </w:r>
      <w:r w:rsidR="00B11DCC" w:rsidRPr="00B11DCC">
        <w:rPr>
          <w:i/>
          <w:iCs/>
        </w:rPr>
        <w:t>See, e.g.</w:t>
      </w:r>
      <w:r w:rsidR="00B11DCC" w:rsidRPr="00B11DCC">
        <w:t xml:space="preserve">, Joshua Vana November 3, 2025 Comments; 7 Directions of Service November 3, 2025 Comments.  </w:t>
      </w:r>
      <w:r w:rsidR="009F6A95" w:rsidRPr="009F6A95">
        <w:t xml:space="preserve">And the Commission considered the cumulative effects of the project, which included impacts from the Southeast Supply Enhancement Project.  </w:t>
      </w:r>
      <w:r w:rsidR="009F6A95" w:rsidRPr="009F6A95">
        <w:rPr>
          <w:i/>
          <w:iCs/>
        </w:rPr>
        <w:t>See</w:t>
      </w:r>
      <w:r w:rsidR="009F6A95" w:rsidRPr="009F6A95">
        <w:t xml:space="preserve"> EA at 63-86.  In any event, we note that “[t]he Commission, like other agencies, is generally master of its own calendar and procedures.”  </w:t>
      </w:r>
      <w:r w:rsidR="009F6A95" w:rsidRPr="008838CE">
        <w:rPr>
          <w:i/>
          <w:iCs/>
        </w:rPr>
        <w:t>Tallgrass Interstate Gas Transmission, LLC</w:t>
      </w:r>
      <w:r w:rsidR="009F6A95" w:rsidRPr="009F6A95">
        <w:t xml:space="preserve">, 154 FERC </w:t>
      </w:r>
      <w:r w:rsidR="0054273B">
        <w:t xml:space="preserve">        </w:t>
      </w:r>
      <w:r w:rsidR="009F6A95" w:rsidRPr="009F6A95">
        <w:t xml:space="preserve">¶ 61,277, at P 3 (2016) (citing </w:t>
      </w:r>
      <w:r w:rsidR="009F6A95" w:rsidRPr="008838CE">
        <w:rPr>
          <w:i/>
          <w:iCs/>
        </w:rPr>
        <w:t>Stowers Oil &amp; Gas Co.</w:t>
      </w:r>
      <w:r w:rsidR="009F6A95" w:rsidRPr="009F6A95">
        <w:t>, 27 FERC ¶ 61,001 (1984)).</w:t>
      </w:r>
    </w:p>
  </w:footnote>
  <w:footnote w:id="128">
    <w:p w14:paraId="1AF75F37" w14:textId="68FB9B5F" w:rsidR="00626C57" w:rsidRDefault="00626C57" w:rsidP="00626C57">
      <w:pPr>
        <w:pStyle w:val="FootnoteText"/>
      </w:pPr>
      <w:r>
        <w:rPr>
          <w:rStyle w:val="FootnoteReference"/>
        </w:rPr>
        <w:footnoteRef/>
      </w:r>
      <w:r>
        <w:t xml:space="preserve"> </w:t>
      </w:r>
      <w:r w:rsidRPr="00CC4105">
        <w:rPr>
          <w:i/>
        </w:rPr>
        <w:t>See, e.g.</w:t>
      </w:r>
      <w:r w:rsidRPr="00C9602B">
        <w:t>,</w:t>
      </w:r>
      <w:r w:rsidRPr="00947746">
        <w:rPr>
          <w:iCs/>
        </w:rPr>
        <w:t xml:space="preserve"> </w:t>
      </w:r>
      <w:r w:rsidRPr="005A68DF">
        <w:t xml:space="preserve">Sierra Club November 3, 2025 </w:t>
      </w:r>
      <w:r>
        <w:t>C</w:t>
      </w:r>
      <w:r w:rsidRPr="005A68DF">
        <w:t>omment</w:t>
      </w:r>
      <w:r w:rsidR="00936127">
        <w:t>s</w:t>
      </w:r>
      <w:r>
        <w:t xml:space="preserve"> at 72 </w:t>
      </w:r>
      <w:r w:rsidR="00F77B60">
        <w:t>&amp;</w:t>
      </w:r>
      <w:r>
        <w:t xml:space="preserve"> 162</w:t>
      </w:r>
      <w:r w:rsidR="00D213C7">
        <w:t>;</w:t>
      </w:r>
      <w:r>
        <w:t xml:space="preserve"> Appalachian Voices November 3, 2025 Comment</w:t>
      </w:r>
      <w:r w:rsidR="00936127">
        <w:t>s</w:t>
      </w:r>
      <w:r>
        <w:t xml:space="preserve"> at 41.</w:t>
      </w:r>
    </w:p>
  </w:footnote>
  <w:footnote w:id="129">
    <w:p w14:paraId="43A3217D" w14:textId="2925C5CA" w:rsidR="000D6E79" w:rsidRDefault="000D6E79">
      <w:pPr>
        <w:pStyle w:val="FootnoteText"/>
      </w:pPr>
      <w:r>
        <w:rPr>
          <w:rStyle w:val="FootnoteReference"/>
        </w:rPr>
        <w:footnoteRef/>
      </w:r>
      <w:r>
        <w:t xml:space="preserve"> </w:t>
      </w:r>
      <w:r w:rsidR="00FA67E4">
        <w:t>EA at 24.</w:t>
      </w:r>
    </w:p>
  </w:footnote>
  <w:footnote w:id="130">
    <w:p w14:paraId="1F0C8F0F" w14:textId="77777777" w:rsidR="00626C57" w:rsidRPr="001629C2" w:rsidRDefault="00626C57" w:rsidP="00626C57">
      <w:pPr>
        <w:pStyle w:val="FootnoteText"/>
      </w:pPr>
      <w:r>
        <w:rPr>
          <w:rStyle w:val="FootnoteReference"/>
        </w:rPr>
        <w:footnoteRef/>
      </w:r>
      <w:r w:rsidRPr="00BC4857">
        <w:t xml:space="preserve"> </w:t>
      </w:r>
      <w:r w:rsidRPr="00B823FF">
        <w:t>The FERC Plan and Procedures are a set of baseline construction and mitigation measures developed to minimize the potential environmental impacts of construction on upland areas, wetlands, and waterbodies.  They can be viewed on the Commission’s website at http://www.ferc.gov/industries/gas/enviro/plan.pdf and http://www.ferc.gov/industries/gas/enviro/procedures.pdf.</w:t>
      </w:r>
    </w:p>
  </w:footnote>
  <w:footnote w:id="131">
    <w:p w14:paraId="3FD8F044" w14:textId="530F38CB" w:rsidR="00626C57" w:rsidRPr="001629C2" w:rsidRDefault="00626C57" w:rsidP="00626C57">
      <w:pPr>
        <w:pStyle w:val="FootnoteText"/>
      </w:pPr>
      <w:r>
        <w:rPr>
          <w:rStyle w:val="FootnoteReference"/>
        </w:rPr>
        <w:footnoteRef/>
      </w:r>
      <w:r w:rsidRPr="001629C2">
        <w:t xml:space="preserve"> F</w:t>
      </w:r>
      <w:r w:rsidR="00EF11C3" w:rsidRPr="001629C2">
        <w:t xml:space="preserve">inal </w:t>
      </w:r>
      <w:r w:rsidRPr="001629C2">
        <w:t>EIS at 4-24.</w:t>
      </w:r>
    </w:p>
  </w:footnote>
  <w:footnote w:id="132">
    <w:p w14:paraId="78F982DC" w14:textId="743B4B48" w:rsidR="00DD5CD2" w:rsidRDefault="00DD5CD2">
      <w:pPr>
        <w:pStyle w:val="FootnoteText"/>
      </w:pPr>
      <w:r>
        <w:rPr>
          <w:rStyle w:val="FootnoteReference"/>
        </w:rPr>
        <w:footnoteRef/>
      </w:r>
      <w:r>
        <w:t xml:space="preserve"> EA at 17.</w:t>
      </w:r>
    </w:p>
  </w:footnote>
  <w:footnote w:id="133">
    <w:p w14:paraId="59CE8388" w14:textId="51347C69" w:rsidR="00E84685" w:rsidRDefault="00E84685" w:rsidP="00E84685">
      <w:pPr>
        <w:pStyle w:val="FootnoteText"/>
      </w:pPr>
      <w:r>
        <w:rPr>
          <w:rStyle w:val="FootnoteReference"/>
        </w:rPr>
        <w:footnoteRef/>
      </w:r>
      <w:r>
        <w:t xml:space="preserve"> Sierra Club November 3, 2025 Comments at 7.</w:t>
      </w:r>
    </w:p>
  </w:footnote>
  <w:footnote w:id="134">
    <w:p w14:paraId="6298D7A3" w14:textId="77777777" w:rsidR="00E84685" w:rsidRDefault="00E84685" w:rsidP="00E84685">
      <w:pPr>
        <w:pStyle w:val="FootnoteText"/>
      </w:pPr>
      <w:r>
        <w:rPr>
          <w:rStyle w:val="FootnoteReference"/>
        </w:rPr>
        <w:footnoteRef/>
      </w:r>
      <w:r>
        <w:t xml:space="preserve"> EA at 15.</w:t>
      </w:r>
    </w:p>
  </w:footnote>
  <w:footnote w:id="135">
    <w:p w14:paraId="1023646B" w14:textId="0D28A5C0" w:rsidR="005F3306" w:rsidRPr="005F3306" w:rsidRDefault="005F3306">
      <w:pPr>
        <w:pStyle w:val="FootnoteText"/>
      </w:pPr>
      <w:r>
        <w:rPr>
          <w:rStyle w:val="FootnoteReference"/>
        </w:rPr>
        <w:footnoteRef/>
      </w:r>
      <w:r>
        <w:t xml:space="preserve"> </w:t>
      </w:r>
      <w:r>
        <w:rPr>
          <w:i/>
          <w:iCs/>
        </w:rPr>
        <w:t>Id.</w:t>
      </w:r>
      <w:r>
        <w:t xml:space="preserve"> at 17</w:t>
      </w:r>
      <w:r w:rsidR="00E56A03">
        <w:t xml:space="preserve"> (</w:t>
      </w:r>
      <w:r w:rsidR="00E56A03" w:rsidRPr="00E56A03">
        <w:t xml:space="preserve">total acreage of prime farmland and farmland of statewide importance in Pittsylvania County, Virginia </w:t>
      </w:r>
      <w:r w:rsidR="00A556EA">
        <w:t xml:space="preserve">is </w:t>
      </w:r>
      <w:r w:rsidR="00E56A03" w:rsidRPr="00E56A03">
        <w:t xml:space="preserve">515,022 acres and </w:t>
      </w:r>
      <w:r w:rsidR="0065037E">
        <w:t xml:space="preserve">in </w:t>
      </w:r>
      <w:r w:rsidR="00E56A03" w:rsidRPr="00E56A03">
        <w:t xml:space="preserve">Rockingham County, North Carolina </w:t>
      </w:r>
      <w:r w:rsidR="0065037E">
        <w:t xml:space="preserve">is </w:t>
      </w:r>
      <w:r w:rsidR="00E56A03" w:rsidRPr="00E56A03">
        <w:t>253,506 acres</w:t>
      </w:r>
      <w:r w:rsidR="0065037E">
        <w:t>)</w:t>
      </w:r>
      <w:r w:rsidR="00E56A03" w:rsidRPr="00E56A03">
        <w:t>.</w:t>
      </w:r>
    </w:p>
  </w:footnote>
  <w:footnote w:id="136">
    <w:p w14:paraId="54D3C71C" w14:textId="30508BE0" w:rsidR="002D7931" w:rsidRPr="00371E25" w:rsidRDefault="002D7931" w:rsidP="002D7931">
      <w:pPr>
        <w:pStyle w:val="FootnoteText"/>
        <w:rPr>
          <w:b/>
        </w:rPr>
      </w:pPr>
      <w:r w:rsidRPr="004A40CB">
        <w:rPr>
          <w:rStyle w:val="FootnoteReference"/>
        </w:rPr>
        <w:footnoteRef/>
      </w:r>
      <w:r w:rsidRPr="00371E25">
        <w:t xml:space="preserve"> </w:t>
      </w:r>
      <w:r w:rsidRPr="004C21F3">
        <w:rPr>
          <w:i/>
          <w:szCs w:val="26"/>
        </w:rPr>
        <w:t xml:space="preserve">See, </w:t>
      </w:r>
      <w:r>
        <w:rPr>
          <w:i/>
          <w:szCs w:val="26"/>
        </w:rPr>
        <w:t>e.g.</w:t>
      </w:r>
      <w:r>
        <w:rPr>
          <w:iCs/>
          <w:szCs w:val="26"/>
        </w:rPr>
        <w:t>, Carly Diaz October 27, 2025 Comment</w:t>
      </w:r>
      <w:r w:rsidR="00936127">
        <w:rPr>
          <w:iCs/>
          <w:szCs w:val="26"/>
        </w:rPr>
        <w:t>s</w:t>
      </w:r>
      <w:r w:rsidR="001B1F19">
        <w:rPr>
          <w:iCs/>
          <w:szCs w:val="26"/>
        </w:rPr>
        <w:t>;</w:t>
      </w:r>
      <w:r>
        <w:rPr>
          <w:iCs/>
          <w:szCs w:val="26"/>
        </w:rPr>
        <w:t xml:space="preserve"> Nancy Trevino October</w:t>
      </w:r>
      <w:r w:rsidR="001D2B2B">
        <w:rPr>
          <w:iCs/>
          <w:szCs w:val="26"/>
        </w:rPr>
        <w:t> </w:t>
      </w:r>
      <w:r>
        <w:rPr>
          <w:iCs/>
          <w:szCs w:val="26"/>
        </w:rPr>
        <w:t>27, 2025 Comment</w:t>
      </w:r>
      <w:r w:rsidR="00936127">
        <w:rPr>
          <w:iCs/>
          <w:szCs w:val="26"/>
        </w:rPr>
        <w:t>s</w:t>
      </w:r>
      <w:r>
        <w:rPr>
          <w:iCs/>
          <w:szCs w:val="26"/>
        </w:rPr>
        <w:t xml:space="preserve"> at 1</w:t>
      </w:r>
      <w:r w:rsidRPr="00371E25">
        <w:t>.</w:t>
      </w:r>
    </w:p>
  </w:footnote>
  <w:footnote w:id="137">
    <w:p w14:paraId="5B8A71D5" w14:textId="5493A1D6" w:rsidR="002D7931" w:rsidRPr="00371E25" w:rsidRDefault="002D7931" w:rsidP="002D7931">
      <w:pPr>
        <w:pStyle w:val="FootnoteText"/>
        <w:rPr>
          <w:b/>
        </w:rPr>
      </w:pPr>
      <w:r w:rsidRPr="004A40CB">
        <w:rPr>
          <w:rStyle w:val="FootnoteReference"/>
        </w:rPr>
        <w:footnoteRef/>
      </w:r>
      <w:r w:rsidRPr="00371E25">
        <w:t xml:space="preserve"> </w:t>
      </w:r>
      <w:r w:rsidRPr="00B31868">
        <w:t>EA</w:t>
      </w:r>
      <w:r w:rsidRPr="0032754F">
        <w:t xml:space="preserve"> </w:t>
      </w:r>
      <w:r>
        <w:t>at 36</w:t>
      </w:r>
      <w:r w:rsidR="00107ABA">
        <w:t xml:space="preserve"> </w:t>
      </w:r>
      <w:r w:rsidR="00D31D86">
        <w:t>&amp;</w:t>
      </w:r>
      <w:r w:rsidR="00107ABA">
        <w:t xml:space="preserve"> </w:t>
      </w:r>
      <w:r>
        <w:t>Appendix A-4 at A-13.</w:t>
      </w:r>
    </w:p>
  </w:footnote>
  <w:footnote w:id="138">
    <w:p w14:paraId="08652A17" w14:textId="77777777" w:rsidR="002D7931" w:rsidRDefault="002D7931" w:rsidP="002D7931">
      <w:pPr>
        <w:pStyle w:val="FootnoteText"/>
      </w:pPr>
      <w:r>
        <w:rPr>
          <w:rStyle w:val="FootnoteReference"/>
        </w:rPr>
        <w:footnoteRef/>
      </w:r>
      <w:r>
        <w:t xml:space="preserve"> EA at 19.</w:t>
      </w:r>
    </w:p>
  </w:footnote>
  <w:footnote w:id="139">
    <w:p w14:paraId="2C0C6F40" w14:textId="242E379C" w:rsidR="002D7931" w:rsidRPr="00371E25" w:rsidRDefault="002D7931" w:rsidP="002D7931">
      <w:pPr>
        <w:pStyle w:val="FootnoteText"/>
        <w:rPr>
          <w:b/>
        </w:rPr>
      </w:pPr>
      <w:r w:rsidRPr="008829C8">
        <w:rPr>
          <w:rStyle w:val="FootnoteReference"/>
          <w:szCs w:val="22"/>
        </w:rPr>
        <w:footnoteRef/>
      </w:r>
      <w:r w:rsidRPr="00371E25">
        <w:t xml:space="preserve"> </w:t>
      </w:r>
      <w:r w:rsidR="00EF11C3" w:rsidRPr="00EF11C3">
        <w:rPr>
          <w:i/>
          <w:iCs/>
        </w:rPr>
        <w:t>Id.</w:t>
      </w:r>
      <w:r>
        <w:t xml:space="preserve"> at 24</w:t>
      </w:r>
      <w:r w:rsidRPr="00371E25">
        <w:t>.</w:t>
      </w:r>
    </w:p>
  </w:footnote>
  <w:footnote w:id="140">
    <w:p w14:paraId="770416E9" w14:textId="74F5BE4E" w:rsidR="00531F21" w:rsidRPr="00371E25" w:rsidRDefault="00531F21" w:rsidP="00531F21">
      <w:pPr>
        <w:pStyle w:val="FootnoteText"/>
        <w:rPr>
          <w:b/>
        </w:rPr>
      </w:pPr>
      <w:r w:rsidRPr="008829C8">
        <w:rPr>
          <w:rStyle w:val="FootnoteReference"/>
        </w:rPr>
        <w:footnoteRef/>
      </w:r>
      <w:r w:rsidRPr="00371E25">
        <w:t xml:space="preserve"> </w:t>
      </w:r>
      <w:r w:rsidRPr="00291245">
        <w:rPr>
          <w:i/>
          <w:szCs w:val="26"/>
        </w:rPr>
        <w:t>See, e.g.</w:t>
      </w:r>
      <w:r w:rsidRPr="00C9602B">
        <w:rPr>
          <w:szCs w:val="26"/>
        </w:rPr>
        <w:t xml:space="preserve">, </w:t>
      </w:r>
      <w:r>
        <w:rPr>
          <w:iCs/>
          <w:szCs w:val="26"/>
        </w:rPr>
        <w:t>Carly Diaz October 27, 2025 Comment</w:t>
      </w:r>
      <w:r w:rsidR="00936127">
        <w:rPr>
          <w:iCs/>
          <w:szCs w:val="26"/>
        </w:rPr>
        <w:t>s</w:t>
      </w:r>
      <w:r>
        <w:rPr>
          <w:iCs/>
          <w:szCs w:val="26"/>
        </w:rPr>
        <w:t xml:space="preserve"> at 1</w:t>
      </w:r>
      <w:r w:rsidR="00030679">
        <w:rPr>
          <w:iCs/>
          <w:szCs w:val="26"/>
        </w:rPr>
        <w:t>; Appa</w:t>
      </w:r>
      <w:r w:rsidR="00130D1E">
        <w:rPr>
          <w:iCs/>
          <w:szCs w:val="26"/>
        </w:rPr>
        <w:t>lachian Mountain Advocates</w:t>
      </w:r>
      <w:r w:rsidR="00C942B8">
        <w:rPr>
          <w:iCs/>
          <w:szCs w:val="26"/>
        </w:rPr>
        <w:t xml:space="preserve"> November 3, 2025 Comments at </w:t>
      </w:r>
      <w:r w:rsidR="000C2FCF">
        <w:rPr>
          <w:iCs/>
          <w:szCs w:val="26"/>
        </w:rPr>
        <w:t>13</w:t>
      </w:r>
      <w:r w:rsidR="00BA402E">
        <w:rPr>
          <w:iCs/>
          <w:szCs w:val="26"/>
        </w:rPr>
        <w:t>-14</w:t>
      </w:r>
      <w:r w:rsidRPr="00371E25">
        <w:t>.</w:t>
      </w:r>
    </w:p>
  </w:footnote>
  <w:footnote w:id="141">
    <w:p w14:paraId="72EFDCC8" w14:textId="77777777" w:rsidR="00531F21" w:rsidRPr="00B9158D" w:rsidRDefault="00531F21" w:rsidP="00531F21">
      <w:pPr>
        <w:pStyle w:val="FootnoteText"/>
        <w:rPr>
          <w:b/>
          <w:lang w:val="nb-NO"/>
        </w:rPr>
      </w:pPr>
      <w:r w:rsidRPr="008829C8">
        <w:rPr>
          <w:rStyle w:val="FootnoteReference"/>
        </w:rPr>
        <w:footnoteRef/>
      </w:r>
      <w:r w:rsidRPr="00B9158D">
        <w:rPr>
          <w:vertAlign w:val="superscript"/>
          <w:lang w:val="nb-NO"/>
        </w:rPr>
        <w:t xml:space="preserve"> </w:t>
      </w:r>
      <w:r w:rsidRPr="00B9158D">
        <w:rPr>
          <w:lang w:val="nb-NO"/>
        </w:rPr>
        <w:t>EA at 24.</w:t>
      </w:r>
    </w:p>
  </w:footnote>
  <w:footnote w:id="142">
    <w:p w14:paraId="76F5D379" w14:textId="77777777" w:rsidR="00531F21" w:rsidRPr="00B9158D" w:rsidRDefault="00531F21" w:rsidP="00531F21">
      <w:pPr>
        <w:pStyle w:val="FootnoteText"/>
        <w:rPr>
          <w:b/>
          <w:lang w:val="nb-NO"/>
        </w:rPr>
      </w:pPr>
      <w:r w:rsidRPr="008829C8">
        <w:rPr>
          <w:rStyle w:val="FootnoteReference"/>
        </w:rPr>
        <w:footnoteRef/>
      </w:r>
      <w:r w:rsidRPr="00B9158D">
        <w:rPr>
          <w:rStyle w:val="FootnoteReference"/>
          <w:lang w:val="nb-NO"/>
        </w:rPr>
        <w:t xml:space="preserve"> </w:t>
      </w:r>
      <w:r w:rsidRPr="00B9158D">
        <w:rPr>
          <w:i/>
          <w:iCs/>
          <w:lang w:val="nb-NO"/>
        </w:rPr>
        <w:t>Id.</w:t>
      </w:r>
      <w:r w:rsidRPr="00B9158D">
        <w:rPr>
          <w:lang w:val="nb-NO"/>
        </w:rPr>
        <w:t xml:space="preserve"> at 22.</w:t>
      </w:r>
    </w:p>
  </w:footnote>
  <w:footnote w:id="143">
    <w:p w14:paraId="1FD23FF9" w14:textId="686E6F8F" w:rsidR="00254558" w:rsidRPr="001629C2" w:rsidRDefault="00254558">
      <w:pPr>
        <w:pStyle w:val="FootnoteText"/>
        <w:rPr>
          <w:lang w:val="nb-NO"/>
        </w:rPr>
      </w:pPr>
      <w:r>
        <w:rPr>
          <w:rStyle w:val="FootnoteReference"/>
        </w:rPr>
        <w:footnoteRef/>
      </w:r>
      <w:r w:rsidRPr="001629C2">
        <w:rPr>
          <w:lang w:val="nb-NO"/>
        </w:rPr>
        <w:t xml:space="preserve"> </w:t>
      </w:r>
      <w:r w:rsidRPr="00291245">
        <w:rPr>
          <w:i/>
          <w:lang w:val="nb-NO"/>
        </w:rPr>
        <w:t>Id.</w:t>
      </w:r>
      <w:r w:rsidRPr="00291245">
        <w:rPr>
          <w:lang w:val="nb-NO"/>
        </w:rPr>
        <w:t xml:space="preserve"> at 2</w:t>
      </w:r>
      <w:r>
        <w:rPr>
          <w:lang w:val="nb-NO"/>
        </w:rPr>
        <w:t>4</w:t>
      </w:r>
      <w:r w:rsidRPr="00291245">
        <w:rPr>
          <w:lang w:val="nb-NO"/>
        </w:rPr>
        <w:t>.</w:t>
      </w:r>
    </w:p>
  </w:footnote>
  <w:footnote w:id="144">
    <w:p w14:paraId="477836CB" w14:textId="231625E6" w:rsidR="00531F21" w:rsidRPr="000944EB" w:rsidRDefault="00531F21" w:rsidP="00531F21">
      <w:pPr>
        <w:pStyle w:val="FootnoteText"/>
        <w:rPr>
          <w:iCs/>
        </w:rPr>
      </w:pPr>
      <w:r>
        <w:rPr>
          <w:rStyle w:val="FootnoteReference"/>
        </w:rPr>
        <w:footnoteRef/>
      </w:r>
      <w:r>
        <w:t xml:space="preserve"> </w:t>
      </w:r>
      <w:r w:rsidRPr="0035062B">
        <w:rPr>
          <w:i/>
          <w:szCs w:val="26"/>
        </w:rPr>
        <w:t>See, e.g.</w:t>
      </w:r>
      <w:r w:rsidRPr="00C9602B">
        <w:rPr>
          <w:szCs w:val="26"/>
        </w:rPr>
        <w:t>,</w:t>
      </w:r>
      <w:r w:rsidRPr="00A3174D">
        <w:rPr>
          <w:iCs/>
          <w:szCs w:val="26"/>
        </w:rPr>
        <w:t xml:space="preserve"> </w:t>
      </w:r>
      <w:r w:rsidRPr="00291245">
        <w:rPr>
          <w:szCs w:val="26"/>
        </w:rPr>
        <w:t>7 Directions of Service</w:t>
      </w:r>
      <w:r>
        <w:rPr>
          <w:iCs/>
          <w:szCs w:val="26"/>
        </w:rPr>
        <w:t xml:space="preserve"> November 3, 2025 Comments at 1.</w:t>
      </w:r>
    </w:p>
  </w:footnote>
  <w:footnote w:id="145">
    <w:p w14:paraId="55F7D164" w14:textId="77777777" w:rsidR="007A311A" w:rsidRPr="00371E25" w:rsidRDefault="007A311A" w:rsidP="007A311A">
      <w:pPr>
        <w:pStyle w:val="FootnoteText"/>
        <w:rPr>
          <w:b/>
        </w:rPr>
      </w:pPr>
      <w:r w:rsidRPr="008829C8">
        <w:rPr>
          <w:rStyle w:val="FootnoteReference"/>
        </w:rPr>
        <w:footnoteRef/>
      </w:r>
      <w:r w:rsidRPr="00371E25">
        <w:t xml:space="preserve"> </w:t>
      </w:r>
      <w:r w:rsidRPr="001610C2">
        <w:rPr>
          <w:i/>
          <w:szCs w:val="26"/>
        </w:rPr>
        <w:t>Se</w:t>
      </w:r>
      <w:r>
        <w:rPr>
          <w:i/>
          <w:szCs w:val="26"/>
        </w:rPr>
        <w:t xml:space="preserve">e </w:t>
      </w:r>
      <w:r>
        <w:rPr>
          <w:iCs/>
          <w:szCs w:val="26"/>
        </w:rPr>
        <w:t>Katherine Williams October 27, 2025 Comments at 1</w:t>
      </w:r>
      <w:r w:rsidRPr="00371E25">
        <w:t>.</w:t>
      </w:r>
    </w:p>
  </w:footnote>
  <w:footnote w:id="146">
    <w:p w14:paraId="69DAE9F4" w14:textId="77777777" w:rsidR="00531F21" w:rsidRPr="00B9158D" w:rsidRDefault="00531F21" w:rsidP="00531F21">
      <w:pPr>
        <w:pStyle w:val="FootnoteText"/>
        <w:rPr>
          <w:b/>
          <w:lang w:val="nb-NO"/>
        </w:rPr>
      </w:pPr>
      <w:r w:rsidRPr="00291245">
        <w:rPr>
          <w:rStyle w:val="FootnoteReference"/>
        </w:rPr>
        <w:footnoteRef/>
      </w:r>
      <w:r w:rsidRPr="00B9158D">
        <w:rPr>
          <w:lang w:val="nb-NO"/>
        </w:rPr>
        <w:t xml:space="preserve"> EA at 24.</w:t>
      </w:r>
    </w:p>
  </w:footnote>
  <w:footnote w:id="147">
    <w:p w14:paraId="3B792C49" w14:textId="77777777" w:rsidR="00F4395B" w:rsidRPr="00371E25" w:rsidRDefault="00F4395B" w:rsidP="00F4395B">
      <w:pPr>
        <w:pStyle w:val="FootnoteText"/>
        <w:rPr>
          <w:b/>
        </w:rPr>
      </w:pPr>
      <w:r w:rsidRPr="008829C8">
        <w:rPr>
          <w:rStyle w:val="FootnoteReference"/>
        </w:rPr>
        <w:footnoteRef/>
      </w:r>
      <w:r w:rsidRPr="00C9602B">
        <w:rPr>
          <w:rStyle w:val="FootnoteReference"/>
          <w:vertAlign w:val="baseline"/>
        </w:rPr>
        <w:t xml:space="preserve"> </w:t>
      </w:r>
      <w:r>
        <w:rPr>
          <w:i/>
          <w:iCs/>
        </w:rPr>
        <w:t xml:space="preserve">Id. </w:t>
      </w:r>
      <w:r>
        <w:t>at 9</w:t>
      </w:r>
      <w:r w:rsidRPr="00371E25">
        <w:t>.</w:t>
      </w:r>
    </w:p>
  </w:footnote>
  <w:footnote w:id="148">
    <w:p w14:paraId="508CA721" w14:textId="77777777" w:rsidR="00B6157C" w:rsidRDefault="00B6157C" w:rsidP="00B6157C">
      <w:pPr>
        <w:pStyle w:val="FootnoteText"/>
      </w:pPr>
      <w:r>
        <w:rPr>
          <w:rStyle w:val="FootnoteReference"/>
        </w:rPr>
        <w:footnoteRef/>
      </w:r>
      <w:r>
        <w:t xml:space="preserve"> Certificate Order</w:t>
      </w:r>
      <w:r w:rsidRPr="006707B2">
        <w:t>, 171 FERC ¶ 61,232</w:t>
      </w:r>
      <w:r>
        <w:t xml:space="preserve"> at env’tl cond. 10.  </w:t>
      </w:r>
    </w:p>
  </w:footnote>
  <w:footnote w:id="149">
    <w:p w14:paraId="0E4E182D" w14:textId="16899C19" w:rsidR="00531F21" w:rsidRPr="00B9158D" w:rsidRDefault="00531F21" w:rsidP="00531F21">
      <w:pPr>
        <w:pStyle w:val="FootnoteText"/>
        <w:rPr>
          <w:b/>
          <w:lang w:val="nb-NO"/>
        </w:rPr>
      </w:pPr>
      <w:r w:rsidRPr="00291245">
        <w:rPr>
          <w:rStyle w:val="FootnoteReference"/>
        </w:rPr>
        <w:footnoteRef/>
      </w:r>
      <w:r w:rsidRPr="00B9158D">
        <w:rPr>
          <w:lang w:val="nb-NO"/>
        </w:rPr>
        <w:t xml:space="preserve"> </w:t>
      </w:r>
      <w:r w:rsidR="00737706">
        <w:rPr>
          <w:lang w:val="nb-NO"/>
        </w:rPr>
        <w:t>EA</w:t>
      </w:r>
      <w:r w:rsidRPr="00B9158D">
        <w:rPr>
          <w:lang w:val="nb-NO"/>
        </w:rPr>
        <w:t xml:space="preserve"> at 19.</w:t>
      </w:r>
    </w:p>
  </w:footnote>
  <w:footnote w:id="150">
    <w:p w14:paraId="6502245A" w14:textId="77777777" w:rsidR="00531F21" w:rsidRPr="00B9158D" w:rsidRDefault="00531F21" w:rsidP="00531F21">
      <w:pPr>
        <w:pStyle w:val="FootnoteText"/>
        <w:rPr>
          <w:b/>
          <w:lang w:val="nb-NO"/>
        </w:rPr>
      </w:pPr>
      <w:r w:rsidRPr="00291245">
        <w:rPr>
          <w:rStyle w:val="FootnoteReference"/>
        </w:rPr>
        <w:footnoteRef/>
      </w:r>
      <w:r w:rsidRPr="00B9158D">
        <w:rPr>
          <w:lang w:val="nb-NO"/>
        </w:rPr>
        <w:t xml:space="preserve"> </w:t>
      </w:r>
      <w:r w:rsidRPr="00B9158D">
        <w:rPr>
          <w:i/>
          <w:iCs/>
          <w:lang w:val="nb-NO"/>
        </w:rPr>
        <w:t>Id</w:t>
      </w:r>
      <w:r w:rsidRPr="00C9602B">
        <w:rPr>
          <w:i/>
          <w:lang w:val="nb-NO"/>
        </w:rPr>
        <w:t xml:space="preserve">. </w:t>
      </w:r>
      <w:r w:rsidRPr="00B9158D">
        <w:rPr>
          <w:lang w:val="nb-NO"/>
        </w:rPr>
        <w:t>at 24.</w:t>
      </w:r>
    </w:p>
  </w:footnote>
  <w:footnote w:id="151">
    <w:p w14:paraId="282C102A" w14:textId="77777777" w:rsidR="00740F68" w:rsidRDefault="00740F68" w:rsidP="00740F68">
      <w:pPr>
        <w:pStyle w:val="FootnoteText"/>
      </w:pPr>
      <w:r>
        <w:rPr>
          <w:rStyle w:val="FootnoteReference"/>
        </w:rPr>
        <w:footnoteRef/>
      </w:r>
      <w:r>
        <w:t xml:space="preserve"> Appalachian Voices November 3, 2025 Comments at 20-21.</w:t>
      </w:r>
    </w:p>
  </w:footnote>
  <w:footnote w:id="152">
    <w:p w14:paraId="3D74D687" w14:textId="56E32821" w:rsidR="00740F68" w:rsidRDefault="00740F68" w:rsidP="00740F68">
      <w:pPr>
        <w:pStyle w:val="FootnoteText"/>
      </w:pPr>
      <w:r>
        <w:rPr>
          <w:rStyle w:val="FootnoteReference"/>
        </w:rPr>
        <w:footnoteRef/>
      </w:r>
      <w:r>
        <w:t xml:space="preserve"> Final EIS at 4-242</w:t>
      </w:r>
      <w:r w:rsidR="00403B75">
        <w:t xml:space="preserve"> (explaining </w:t>
      </w:r>
      <w:r w:rsidR="00FE41CB">
        <w:t>that turbi</w:t>
      </w:r>
      <w:r w:rsidR="0050236E">
        <w:t>di</w:t>
      </w:r>
      <w:r w:rsidR="00FE41CB">
        <w:t xml:space="preserve">ty </w:t>
      </w:r>
      <w:r w:rsidR="00494AD8">
        <w:t xml:space="preserve">plumes </w:t>
      </w:r>
      <w:r w:rsidR="006957CB">
        <w:t xml:space="preserve">resulting from waterbody crossings </w:t>
      </w:r>
      <w:r w:rsidR="000E25A1">
        <w:t>dis</w:t>
      </w:r>
      <w:r w:rsidR="00EE7647">
        <w:t>perse</w:t>
      </w:r>
      <w:r w:rsidR="000E25A1">
        <w:t xml:space="preserve"> </w:t>
      </w:r>
      <w:r w:rsidR="00142545">
        <w:t xml:space="preserve">returning to background levels within </w:t>
      </w:r>
      <w:r w:rsidR="00150822">
        <w:t>days)</w:t>
      </w:r>
      <w:r>
        <w:t>.</w:t>
      </w:r>
    </w:p>
  </w:footnote>
  <w:footnote w:id="153">
    <w:p w14:paraId="481B08FB" w14:textId="3B551F78" w:rsidR="002A0DED" w:rsidRDefault="002A0DED" w:rsidP="002A0DED">
      <w:pPr>
        <w:pStyle w:val="FootnoteText"/>
      </w:pPr>
      <w:r>
        <w:rPr>
          <w:rStyle w:val="FootnoteReference"/>
        </w:rPr>
        <w:footnoteRef/>
      </w:r>
      <w:r>
        <w:t xml:space="preserve"> </w:t>
      </w:r>
      <w:r w:rsidRPr="00291245">
        <w:rPr>
          <w:i/>
        </w:rPr>
        <w:t>See, e.g.</w:t>
      </w:r>
      <w:r w:rsidRPr="00C9602B">
        <w:t>,</w:t>
      </w:r>
      <w:r>
        <w:t xml:space="preserve"> 7 Directions of Service November 3, 2025 Comments. </w:t>
      </w:r>
    </w:p>
  </w:footnote>
  <w:footnote w:id="154">
    <w:p w14:paraId="50345BA6" w14:textId="3C1DB69F" w:rsidR="002A0DED" w:rsidRDefault="002A0DED" w:rsidP="002A0DED">
      <w:pPr>
        <w:pStyle w:val="FootnoteText"/>
      </w:pPr>
      <w:r>
        <w:rPr>
          <w:rStyle w:val="FootnoteReference"/>
        </w:rPr>
        <w:footnoteRef/>
      </w:r>
      <w:r>
        <w:t xml:space="preserve"> </w:t>
      </w:r>
      <w:r w:rsidR="00F16418">
        <w:t xml:space="preserve">EA </w:t>
      </w:r>
      <w:r>
        <w:t>at 27</w:t>
      </w:r>
      <w:r w:rsidR="00F96A8C">
        <w:t>-</w:t>
      </w:r>
      <w:r>
        <w:t>41.</w:t>
      </w:r>
    </w:p>
  </w:footnote>
  <w:footnote w:id="155">
    <w:p w14:paraId="03ACE0AD" w14:textId="0411C8AC" w:rsidR="002A0DED" w:rsidRDefault="002A0DED" w:rsidP="002A0DED">
      <w:pPr>
        <w:pStyle w:val="FootnoteText"/>
      </w:pPr>
      <w:r>
        <w:rPr>
          <w:rStyle w:val="FootnoteReference"/>
        </w:rPr>
        <w:footnoteRef/>
      </w:r>
      <w:r>
        <w:t xml:space="preserve"> F</w:t>
      </w:r>
      <w:r w:rsidR="00F16418">
        <w:t xml:space="preserve">inal </w:t>
      </w:r>
      <w:r>
        <w:t>EIS at 4-59 through 4-110.</w:t>
      </w:r>
    </w:p>
  </w:footnote>
  <w:footnote w:id="156">
    <w:p w14:paraId="3A01FEE3" w14:textId="3D8B5040" w:rsidR="00BD574F" w:rsidRDefault="00BD574F">
      <w:pPr>
        <w:pStyle w:val="FootnoteText"/>
      </w:pPr>
      <w:r>
        <w:rPr>
          <w:rStyle w:val="FootnoteReference"/>
        </w:rPr>
        <w:footnoteRef/>
      </w:r>
      <w:r>
        <w:t xml:space="preserve"> EA at</w:t>
      </w:r>
      <w:r w:rsidR="00FF2A80">
        <w:t xml:space="preserve"> 33-39.  Commission staff also determined that the </w:t>
      </w:r>
      <w:r w:rsidR="00777CB0">
        <w:t>Amendment</w:t>
      </w:r>
      <w:r w:rsidR="00FF2A80">
        <w:t xml:space="preserve"> Project would not likely jeopardize the continued existence </w:t>
      </w:r>
      <w:r w:rsidR="007C7759">
        <w:t xml:space="preserve">of the tricolored bat, green floater, and monarch butterfly.  </w:t>
      </w:r>
    </w:p>
  </w:footnote>
  <w:footnote w:id="157">
    <w:p w14:paraId="25072BB8" w14:textId="4C26BAAE" w:rsidR="00B3474B" w:rsidRDefault="00B3474B">
      <w:pPr>
        <w:pStyle w:val="FootnoteText"/>
      </w:pPr>
      <w:r>
        <w:rPr>
          <w:rStyle w:val="FootnoteReference"/>
        </w:rPr>
        <w:footnoteRef/>
      </w:r>
      <w:r>
        <w:t xml:space="preserve"> Environmental Condition 5 in the appendix of this order requires that Mountain Valley comply with all applicable environmental conditions from the Certificate Order, which includes Environmental Condition 19.</w:t>
      </w:r>
    </w:p>
  </w:footnote>
  <w:footnote w:id="158">
    <w:p w14:paraId="75BA92C4" w14:textId="404DABFA" w:rsidR="002A0DED" w:rsidRPr="00371E25" w:rsidRDefault="002A0DED" w:rsidP="002A0DED">
      <w:pPr>
        <w:pStyle w:val="FootnoteText"/>
        <w:rPr>
          <w:b/>
        </w:rPr>
      </w:pPr>
      <w:r w:rsidRPr="00291245">
        <w:rPr>
          <w:rStyle w:val="FootnoteReference"/>
        </w:rPr>
        <w:footnoteRef/>
      </w:r>
      <w:r w:rsidRPr="00371E25">
        <w:t xml:space="preserve"> </w:t>
      </w:r>
      <w:r>
        <w:t xml:space="preserve">EA at 24 </w:t>
      </w:r>
      <w:r w:rsidR="00A80F3D">
        <w:t>&amp;</w:t>
      </w:r>
      <w:r>
        <w:t xml:space="preserve"> 32.</w:t>
      </w:r>
      <w:r w:rsidR="006E4D33">
        <w:t xml:space="preserve">  </w:t>
      </w:r>
      <w:r w:rsidR="006E4D33" w:rsidRPr="006E4D33">
        <w:t>Regarding Appalachian Voices’ claim that the EA should have considered the sedimentation report Mountain Valley included with its biological assessment, Appalachian Voices November 3, 2025 Comments at 19-20, we note that the report was provided at FWS’s request and the information in the report does not alter staff’s assessments or determinations in the EA.</w:t>
      </w:r>
    </w:p>
  </w:footnote>
  <w:footnote w:id="159">
    <w:p w14:paraId="119D68F6" w14:textId="4825117D" w:rsidR="002A0DED" w:rsidRDefault="002A0DED" w:rsidP="002A0DED">
      <w:pPr>
        <w:pStyle w:val="FootnoteText"/>
      </w:pPr>
      <w:r>
        <w:rPr>
          <w:rStyle w:val="FootnoteReference"/>
        </w:rPr>
        <w:footnoteRef/>
      </w:r>
      <w:r>
        <w:t xml:space="preserve"> Sierra Club November 3, 2025 Comments at 2.</w:t>
      </w:r>
    </w:p>
  </w:footnote>
  <w:footnote w:id="160">
    <w:p w14:paraId="5ED04D4D" w14:textId="77777777" w:rsidR="002A0DED" w:rsidRDefault="002A0DED" w:rsidP="002A0DED">
      <w:pPr>
        <w:pStyle w:val="FootnoteText"/>
      </w:pPr>
      <w:r>
        <w:rPr>
          <w:rStyle w:val="FootnoteReference"/>
        </w:rPr>
        <w:footnoteRef/>
      </w:r>
      <w:r>
        <w:t xml:space="preserve"> </w:t>
      </w:r>
      <w:r w:rsidRPr="00B31868">
        <w:rPr>
          <w:i/>
          <w:iCs/>
        </w:rPr>
        <w:t>Id.</w:t>
      </w:r>
    </w:p>
  </w:footnote>
  <w:footnote w:id="161">
    <w:p w14:paraId="53C778AB" w14:textId="668333FA" w:rsidR="002A0DED" w:rsidRDefault="002A0DED" w:rsidP="002A0DED">
      <w:pPr>
        <w:pStyle w:val="FootnoteText"/>
      </w:pPr>
      <w:r>
        <w:rPr>
          <w:rStyle w:val="FootnoteReference"/>
        </w:rPr>
        <w:footnoteRef/>
      </w:r>
      <w:r>
        <w:t xml:space="preserve"> EA at 5</w:t>
      </w:r>
      <w:r w:rsidR="00AE6F27">
        <w:t xml:space="preserve"> </w:t>
      </w:r>
      <w:r w:rsidR="00A80F3D">
        <w:t>&amp;</w:t>
      </w:r>
      <w:r w:rsidR="00AE6F27">
        <w:t xml:space="preserve"> 30</w:t>
      </w:r>
      <w:r w:rsidR="001B19DC">
        <w:t xml:space="preserve"> (</w:t>
      </w:r>
      <w:r w:rsidR="001B19DC" w:rsidRPr="001B19DC">
        <w:t>Amendment Project</w:t>
      </w:r>
      <w:r w:rsidR="00F97F52">
        <w:t xml:space="preserve"> </w:t>
      </w:r>
      <w:r w:rsidR="001B19DC" w:rsidRPr="001B19DC">
        <w:t>would impact</w:t>
      </w:r>
      <w:r w:rsidR="00F76A17">
        <w:t xml:space="preserve"> 374 </w:t>
      </w:r>
      <w:r w:rsidR="006802B5">
        <w:t xml:space="preserve">less </w:t>
      </w:r>
      <w:r w:rsidR="00F76A17">
        <w:t>ac</w:t>
      </w:r>
      <w:r w:rsidR="001A5CF4">
        <w:t xml:space="preserve">res </w:t>
      </w:r>
      <w:r w:rsidR="006802B5">
        <w:t>of forest than the originally certificated project</w:t>
      </w:r>
      <w:r w:rsidR="001B19DC" w:rsidRPr="001B19DC">
        <w:t>)</w:t>
      </w:r>
      <w:r w:rsidR="00E453F7">
        <w:t xml:space="preserve">; </w:t>
      </w:r>
      <w:r w:rsidR="00E453F7" w:rsidRPr="005824DC">
        <w:rPr>
          <w:i/>
          <w:iCs/>
        </w:rPr>
        <w:t>see also</w:t>
      </w:r>
      <w:r w:rsidR="00E453F7">
        <w:t xml:space="preserve"> </w:t>
      </w:r>
      <w:r w:rsidR="00E453F7" w:rsidRPr="005824DC">
        <w:rPr>
          <w:i/>
          <w:iCs/>
        </w:rPr>
        <w:t>id.</w:t>
      </w:r>
      <w:r w:rsidR="00E453F7">
        <w:t xml:space="preserve"> at 31 (</w:t>
      </w:r>
      <w:r w:rsidR="00871DAD">
        <w:t>detailing that t</w:t>
      </w:r>
      <w:r w:rsidR="00E453F7" w:rsidRPr="00E453F7">
        <w:t>he construction footprint of the Amendment Project would cross approximately 13.8 acres of forested habitat not previously affected by the certificated footprint</w:t>
      </w:r>
      <w:r w:rsidR="008120FB">
        <w:t xml:space="preserve"> and t</w:t>
      </w:r>
      <w:r w:rsidR="00E453F7" w:rsidRPr="00E453F7">
        <w:t>he operation</w:t>
      </w:r>
      <w:r w:rsidR="0094688D">
        <w:t>al</w:t>
      </w:r>
      <w:r w:rsidR="00E453F7" w:rsidRPr="00E453F7">
        <w:t xml:space="preserve"> footprint would permanently convert approximately 6.9 acres of forested habitat to non-forested habitat not previously affected by the certificated footprint</w:t>
      </w:r>
      <w:r w:rsidR="00914467">
        <w:t xml:space="preserve">, which </w:t>
      </w:r>
      <w:r w:rsidR="00E453F7" w:rsidRPr="00E453F7">
        <w:t>equate</w:t>
      </w:r>
      <w:r w:rsidR="00914467">
        <w:t>s</w:t>
      </w:r>
      <w:r w:rsidR="00E453F7" w:rsidRPr="00E453F7">
        <w:t xml:space="preserve"> to a long-term decrease of 0.09 percent of forested habitat and permanent loss of 0.04 percent of the forested habitat within the Virginia Piedmont Forest Block Complex</w:t>
      </w:r>
      <w:r w:rsidR="00B0251D">
        <w:t>)</w:t>
      </w:r>
      <w:r w:rsidR="00E453F7" w:rsidRPr="00E453F7">
        <w:t xml:space="preserve">. </w:t>
      </w:r>
    </w:p>
  </w:footnote>
  <w:footnote w:id="162">
    <w:p w14:paraId="5F7CC954" w14:textId="529AFB72" w:rsidR="00EC7C23" w:rsidRDefault="00EC7C23">
      <w:pPr>
        <w:pStyle w:val="FootnoteText"/>
      </w:pPr>
      <w:r>
        <w:rPr>
          <w:rStyle w:val="FootnoteReference"/>
        </w:rPr>
        <w:footnoteRef/>
      </w:r>
      <w:r>
        <w:t xml:space="preserve"> </w:t>
      </w:r>
      <w:r w:rsidRPr="00CD6858">
        <w:rPr>
          <w:i/>
          <w:iCs/>
        </w:rPr>
        <w:t xml:space="preserve">Id. </w:t>
      </w:r>
      <w:r>
        <w:t xml:space="preserve">at </w:t>
      </w:r>
      <w:r w:rsidR="0040103F">
        <w:t>30</w:t>
      </w:r>
      <w:r>
        <w:t>.</w:t>
      </w:r>
    </w:p>
  </w:footnote>
  <w:footnote w:id="163">
    <w:p w14:paraId="359B18C1" w14:textId="46951D1C" w:rsidR="00717EE8" w:rsidRDefault="00717EE8" w:rsidP="00717EE8">
      <w:pPr>
        <w:pStyle w:val="FootnoteText"/>
      </w:pPr>
      <w:r>
        <w:rPr>
          <w:rStyle w:val="FootnoteReference"/>
        </w:rPr>
        <w:footnoteRef/>
      </w:r>
      <w:r>
        <w:t xml:space="preserve"> </w:t>
      </w:r>
      <w:r w:rsidRPr="00E34F39">
        <w:t xml:space="preserve">7 Directions of Service </w:t>
      </w:r>
      <w:r>
        <w:t xml:space="preserve">November 3, 2025 </w:t>
      </w:r>
      <w:r w:rsidR="00825601">
        <w:t>Comment</w:t>
      </w:r>
      <w:r w:rsidR="00936127">
        <w:t>s</w:t>
      </w:r>
      <w:r w:rsidR="00825601">
        <w:t xml:space="preserve">. </w:t>
      </w:r>
    </w:p>
  </w:footnote>
  <w:footnote w:id="164">
    <w:p w14:paraId="27D85C54" w14:textId="3178C5D7" w:rsidR="00717EE8" w:rsidRDefault="00717EE8" w:rsidP="00717EE8">
      <w:pPr>
        <w:pStyle w:val="FootnoteText"/>
      </w:pPr>
      <w:r>
        <w:rPr>
          <w:rStyle w:val="FootnoteReference"/>
        </w:rPr>
        <w:footnoteRef/>
      </w:r>
      <w:r>
        <w:t xml:space="preserve"> EA at 53.</w:t>
      </w:r>
    </w:p>
  </w:footnote>
  <w:footnote w:id="165">
    <w:p w14:paraId="325AD0E4" w14:textId="0412FBE6" w:rsidR="00717EE8" w:rsidRDefault="00717EE8" w:rsidP="00717EE8">
      <w:pPr>
        <w:pStyle w:val="FootnoteText"/>
      </w:pPr>
      <w:r>
        <w:rPr>
          <w:rStyle w:val="FootnoteReference"/>
        </w:rPr>
        <w:footnoteRef/>
      </w:r>
      <w:r>
        <w:t xml:space="preserve"> </w:t>
      </w:r>
      <w:r w:rsidRPr="00D05AAD">
        <w:rPr>
          <w:i/>
          <w:iCs/>
        </w:rPr>
        <w:t>Id</w:t>
      </w:r>
      <w:r w:rsidRPr="00C9602B">
        <w:rPr>
          <w:i/>
        </w:rPr>
        <w:t xml:space="preserve">. </w:t>
      </w:r>
      <w:r>
        <w:t>at 54</w:t>
      </w:r>
      <w:r w:rsidR="00EC37D0">
        <w:t xml:space="preserve"> (noting that the </w:t>
      </w:r>
      <w:r w:rsidR="00EC37D0" w:rsidRPr="00EC37D0">
        <w:t xml:space="preserve">combined operational emissions for the Amendment Project would result in a reduction of 9.9 tons per year of VOC, 4.6 tons per year of total HAPs, and 122,910.6 tons of CO2e per year as compared to the </w:t>
      </w:r>
      <w:r w:rsidR="001A5E37">
        <w:t xml:space="preserve">originally </w:t>
      </w:r>
      <w:r w:rsidR="00EC37D0" w:rsidRPr="00EC37D0">
        <w:t xml:space="preserve">certificated </w:t>
      </w:r>
      <w:r w:rsidR="001A5E37">
        <w:t>p</w:t>
      </w:r>
      <w:r w:rsidR="00EC37D0" w:rsidRPr="00EC37D0">
        <w:t>roject</w:t>
      </w:r>
      <w:r w:rsidR="00AB2767">
        <w:t>)</w:t>
      </w:r>
      <w:r>
        <w:t>.</w:t>
      </w:r>
    </w:p>
  </w:footnote>
  <w:footnote w:id="166">
    <w:p w14:paraId="0A799BF0" w14:textId="1702DEB6" w:rsidR="00586D12" w:rsidRDefault="00586D12" w:rsidP="00586D12">
      <w:pPr>
        <w:pStyle w:val="FootnoteText"/>
      </w:pPr>
      <w:r>
        <w:rPr>
          <w:rStyle w:val="FootnoteReference"/>
        </w:rPr>
        <w:footnoteRef/>
      </w:r>
      <w:r>
        <w:t xml:space="preserve"> Appalachian Voices November 3, 2025 Comments at 2.</w:t>
      </w:r>
    </w:p>
  </w:footnote>
  <w:footnote w:id="167">
    <w:p w14:paraId="765FFCA8" w14:textId="77777777" w:rsidR="00586D12" w:rsidRDefault="00586D12" w:rsidP="00586D12">
      <w:pPr>
        <w:pStyle w:val="FootnoteText"/>
      </w:pPr>
      <w:r>
        <w:rPr>
          <w:rStyle w:val="FootnoteReference"/>
        </w:rPr>
        <w:footnoteRef/>
      </w:r>
      <w:r>
        <w:t xml:space="preserve"> EA at 62</w:t>
      </w:r>
    </w:p>
  </w:footnote>
  <w:footnote w:id="168">
    <w:p w14:paraId="5B6CBB41" w14:textId="36699946" w:rsidR="00586D12" w:rsidRPr="00DF0DE8" w:rsidRDefault="00586D12" w:rsidP="00586D12">
      <w:pPr>
        <w:pStyle w:val="FootnoteText"/>
      </w:pPr>
      <w:r>
        <w:rPr>
          <w:rStyle w:val="FootnoteReference"/>
        </w:rPr>
        <w:footnoteRef/>
      </w:r>
      <w:r w:rsidRPr="00DF0DE8">
        <w:t xml:space="preserve"> </w:t>
      </w:r>
      <w:r w:rsidR="000C33A1" w:rsidRPr="007A1136">
        <w:rPr>
          <w:i/>
          <w:iCs/>
        </w:rPr>
        <w:t>Id.</w:t>
      </w:r>
      <w:r w:rsidRPr="00DF0DE8">
        <w:t xml:space="preserve"> at 60</w:t>
      </w:r>
      <w:r w:rsidR="00FA130B">
        <w:t>-62</w:t>
      </w:r>
      <w:r w:rsidRPr="00DF0DE8">
        <w:t>.</w:t>
      </w:r>
    </w:p>
  </w:footnote>
  <w:footnote w:id="169">
    <w:p w14:paraId="7558A120" w14:textId="023CB765" w:rsidR="00586D12" w:rsidRPr="00371E25" w:rsidRDefault="00586D12" w:rsidP="00586D12">
      <w:pPr>
        <w:pStyle w:val="FootnoteText"/>
        <w:rPr>
          <w:b/>
        </w:rPr>
      </w:pPr>
      <w:r w:rsidRPr="00291245">
        <w:rPr>
          <w:rStyle w:val="FootnoteReference"/>
        </w:rPr>
        <w:footnoteRef/>
      </w:r>
      <w:r w:rsidRPr="00371E25">
        <w:t xml:space="preserve"> </w:t>
      </w:r>
      <w:r w:rsidRPr="001610C2">
        <w:rPr>
          <w:i/>
          <w:szCs w:val="26"/>
        </w:rPr>
        <w:t>Se</w:t>
      </w:r>
      <w:r>
        <w:rPr>
          <w:i/>
          <w:szCs w:val="26"/>
        </w:rPr>
        <w:t xml:space="preserve">e </w:t>
      </w:r>
      <w:r>
        <w:rPr>
          <w:iCs/>
          <w:szCs w:val="26"/>
        </w:rPr>
        <w:t>Katherine Williams October 27, 2025 Comment</w:t>
      </w:r>
      <w:r w:rsidR="00936127">
        <w:rPr>
          <w:iCs/>
          <w:szCs w:val="26"/>
        </w:rPr>
        <w:t>s</w:t>
      </w:r>
      <w:r>
        <w:rPr>
          <w:iCs/>
          <w:szCs w:val="26"/>
        </w:rPr>
        <w:t xml:space="preserve"> at 1</w:t>
      </w:r>
      <w:r w:rsidRPr="00371E25">
        <w:t>.</w:t>
      </w:r>
    </w:p>
  </w:footnote>
  <w:footnote w:id="170">
    <w:p w14:paraId="642A33C5" w14:textId="18C0E958" w:rsidR="00586D12" w:rsidRPr="00371E25" w:rsidRDefault="00586D12" w:rsidP="00586D12">
      <w:pPr>
        <w:pStyle w:val="FootnoteText"/>
        <w:rPr>
          <w:b/>
        </w:rPr>
      </w:pPr>
      <w:r w:rsidRPr="00291245">
        <w:rPr>
          <w:rStyle w:val="FootnoteReference"/>
        </w:rPr>
        <w:footnoteRef/>
      </w:r>
      <w:r w:rsidRPr="00371E25">
        <w:t xml:space="preserve"> </w:t>
      </w:r>
      <w:r w:rsidRPr="00622171">
        <w:rPr>
          <w:iCs/>
          <w:szCs w:val="26"/>
        </w:rPr>
        <w:t>F</w:t>
      </w:r>
      <w:r w:rsidR="000C33A1">
        <w:rPr>
          <w:iCs/>
          <w:szCs w:val="26"/>
        </w:rPr>
        <w:t xml:space="preserve">inal </w:t>
      </w:r>
      <w:r w:rsidRPr="00622171">
        <w:rPr>
          <w:iCs/>
          <w:szCs w:val="26"/>
        </w:rPr>
        <w:t>EIS at 2-1</w:t>
      </w:r>
      <w:r>
        <w:rPr>
          <w:iCs/>
          <w:szCs w:val="26"/>
        </w:rPr>
        <w:t>9</w:t>
      </w:r>
      <w:r w:rsidRPr="00371E25">
        <w:t>.</w:t>
      </w:r>
    </w:p>
  </w:footnote>
  <w:footnote w:id="171">
    <w:p w14:paraId="4211032E" w14:textId="6194C7C9" w:rsidR="00586D12" w:rsidRDefault="00586D12" w:rsidP="00586D12">
      <w:pPr>
        <w:pStyle w:val="FootnoteText"/>
      </w:pPr>
      <w:r>
        <w:rPr>
          <w:rStyle w:val="FootnoteReference"/>
        </w:rPr>
        <w:footnoteRef/>
      </w:r>
      <w:r>
        <w:t xml:space="preserve"> </w:t>
      </w:r>
      <w:r w:rsidRPr="00291245">
        <w:rPr>
          <w:i/>
        </w:rPr>
        <w:t>See, e.g.</w:t>
      </w:r>
      <w:r w:rsidRPr="00C9602B">
        <w:t>,</w:t>
      </w:r>
      <w:r w:rsidRPr="00255657">
        <w:rPr>
          <w:iCs/>
        </w:rPr>
        <w:t xml:space="preserve"> </w:t>
      </w:r>
      <w:r>
        <w:t>Sierra Club November 3, 2025 Comment</w:t>
      </w:r>
      <w:r w:rsidR="00936127">
        <w:t>s</w:t>
      </w:r>
      <w:r>
        <w:t xml:space="preserve"> at 137</w:t>
      </w:r>
      <w:r w:rsidR="005A3DFD">
        <w:t xml:space="preserve"> </w:t>
      </w:r>
      <w:r w:rsidR="00D77DE3">
        <w:t>&amp;</w:t>
      </w:r>
      <w:r w:rsidR="005A3DFD">
        <w:t xml:space="preserve"> 154</w:t>
      </w:r>
      <w:r w:rsidR="00E31D56">
        <w:t>.</w:t>
      </w:r>
    </w:p>
  </w:footnote>
  <w:footnote w:id="172">
    <w:p w14:paraId="086B128C" w14:textId="77777777" w:rsidR="00586D12" w:rsidRDefault="00586D12" w:rsidP="00586D12">
      <w:pPr>
        <w:pStyle w:val="FootnoteText"/>
      </w:pPr>
      <w:r>
        <w:rPr>
          <w:rStyle w:val="FootnoteReference"/>
        </w:rPr>
        <w:footnoteRef/>
      </w:r>
      <w:r>
        <w:t xml:space="preserve"> EA at 60.</w:t>
      </w:r>
    </w:p>
  </w:footnote>
  <w:footnote w:id="173">
    <w:p w14:paraId="0EB3497F" w14:textId="0CCEBC3B" w:rsidR="00586D12" w:rsidRDefault="00586D12" w:rsidP="00586D12">
      <w:pPr>
        <w:pStyle w:val="FootnoteText"/>
      </w:pPr>
      <w:r>
        <w:rPr>
          <w:rStyle w:val="FootnoteReference"/>
        </w:rPr>
        <w:footnoteRef/>
      </w:r>
      <w:r>
        <w:t xml:space="preserve"> Mountain Valley February 3, 2025 Resource Report 11 at 11-7</w:t>
      </w:r>
      <w:r w:rsidR="00503154">
        <w:t xml:space="preserve">; </w:t>
      </w:r>
      <w:r w:rsidR="00503154" w:rsidRPr="00372C97">
        <w:rPr>
          <w:i/>
          <w:iCs/>
        </w:rPr>
        <w:t>see</w:t>
      </w:r>
      <w:r w:rsidR="00503154">
        <w:t xml:space="preserve"> Final EIS at </w:t>
      </w:r>
      <w:r w:rsidR="00667D17">
        <w:t>4-21</w:t>
      </w:r>
      <w:r w:rsidR="006B579C">
        <w:t>3-219</w:t>
      </w:r>
      <w:r>
        <w:t>.</w:t>
      </w:r>
    </w:p>
  </w:footnote>
  <w:footnote w:id="174">
    <w:p w14:paraId="0C49FF5D" w14:textId="40C82802" w:rsidR="00586D12" w:rsidRDefault="00586D12" w:rsidP="00586D12">
      <w:pPr>
        <w:pStyle w:val="FootnoteText"/>
      </w:pPr>
      <w:r>
        <w:rPr>
          <w:rStyle w:val="FootnoteReference"/>
        </w:rPr>
        <w:footnoteRef/>
      </w:r>
      <w:r w:rsidRPr="00577410">
        <w:rPr>
          <w:i/>
          <w:iCs/>
        </w:rPr>
        <w:t xml:space="preserve"> </w:t>
      </w:r>
      <w:r>
        <w:rPr>
          <w:i/>
          <w:iCs/>
        </w:rPr>
        <w:t>See, e.g.</w:t>
      </w:r>
      <w:r w:rsidRPr="00C9602B">
        <w:t>,</w:t>
      </w:r>
      <w:r>
        <w:rPr>
          <w:i/>
          <w:iCs/>
        </w:rPr>
        <w:t xml:space="preserve"> </w:t>
      </w:r>
      <w:r>
        <w:t>Sierra Club</w:t>
      </w:r>
      <w:r w:rsidR="00246B4D">
        <w:t xml:space="preserve"> </w:t>
      </w:r>
      <w:r>
        <w:t>November 3, 2025 Comments</w:t>
      </w:r>
      <w:r w:rsidRPr="007740AD">
        <w:t xml:space="preserve"> at </w:t>
      </w:r>
      <w:r>
        <w:t>152</w:t>
      </w:r>
      <w:r w:rsidR="00246B4D">
        <w:t>.</w:t>
      </w:r>
    </w:p>
  </w:footnote>
  <w:footnote w:id="175">
    <w:p w14:paraId="0DD643B7" w14:textId="16ABE873" w:rsidR="00586D12" w:rsidRPr="001629C2" w:rsidRDefault="00586D12" w:rsidP="00586D12">
      <w:pPr>
        <w:pStyle w:val="FootnoteText"/>
      </w:pPr>
      <w:r>
        <w:rPr>
          <w:rStyle w:val="FootnoteReference"/>
        </w:rPr>
        <w:footnoteRef/>
      </w:r>
      <w:r w:rsidR="00936127" w:rsidRPr="001629C2">
        <w:t xml:space="preserve"> </w:t>
      </w:r>
      <w:r w:rsidRPr="001629C2">
        <w:t>EA at 62.</w:t>
      </w:r>
    </w:p>
  </w:footnote>
  <w:footnote w:id="176">
    <w:p w14:paraId="6FF08E68" w14:textId="20062F50" w:rsidR="00586D12" w:rsidRPr="001629C2" w:rsidRDefault="00586D12" w:rsidP="00586D12">
      <w:pPr>
        <w:pStyle w:val="FootnoteText"/>
      </w:pPr>
      <w:r>
        <w:rPr>
          <w:rStyle w:val="FootnoteReference"/>
        </w:rPr>
        <w:footnoteRef/>
      </w:r>
      <w:r w:rsidRPr="001629C2">
        <w:t xml:space="preserve"> </w:t>
      </w:r>
      <w:r w:rsidR="00DB2354" w:rsidRPr="001629C2">
        <w:rPr>
          <w:i/>
          <w:iCs/>
        </w:rPr>
        <w:t>Id.</w:t>
      </w:r>
      <w:r w:rsidR="00DB2354" w:rsidRPr="001629C2">
        <w:rPr>
          <w:i/>
        </w:rPr>
        <w:t xml:space="preserve"> </w:t>
      </w:r>
      <w:r w:rsidR="00DB2354" w:rsidRPr="001629C2">
        <w:t>at 60</w:t>
      </w:r>
      <w:r w:rsidRPr="001629C2">
        <w:t xml:space="preserve"> </w:t>
      </w:r>
      <w:r w:rsidR="00D77DE3">
        <w:t>&amp;</w:t>
      </w:r>
      <w:r w:rsidRPr="001629C2">
        <w:t xml:space="preserve"> F</w:t>
      </w:r>
      <w:r w:rsidR="00246B4D" w:rsidRPr="001629C2">
        <w:t xml:space="preserve">inal </w:t>
      </w:r>
      <w:r w:rsidRPr="001629C2">
        <w:t>EIS at 4-212.</w:t>
      </w:r>
    </w:p>
  </w:footnote>
  <w:footnote w:id="177">
    <w:p w14:paraId="7A941E32" w14:textId="77777777" w:rsidR="00586D12" w:rsidRPr="001629C2" w:rsidRDefault="00586D12" w:rsidP="00586D12">
      <w:pPr>
        <w:pStyle w:val="FootnoteText"/>
      </w:pPr>
      <w:r>
        <w:rPr>
          <w:rStyle w:val="FootnoteReference"/>
        </w:rPr>
        <w:footnoteRef/>
      </w:r>
      <w:r w:rsidRPr="001629C2">
        <w:t xml:space="preserve"> EA at 7.</w:t>
      </w:r>
    </w:p>
  </w:footnote>
  <w:footnote w:id="178">
    <w:p w14:paraId="215E2A6E" w14:textId="05DD37AF" w:rsidR="00D9101D" w:rsidRDefault="00D9101D" w:rsidP="00D9101D">
      <w:pPr>
        <w:pStyle w:val="FootnoteText"/>
      </w:pPr>
      <w:r>
        <w:rPr>
          <w:rStyle w:val="FootnoteReference"/>
        </w:rPr>
        <w:footnoteRef/>
      </w:r>
      <w:r>
        <w:t xml:space="preserve"> </w:t>
      </w:r>
      <w:r w:rsidRPr="00291245">
        <w:rPr>
          <w:i/>
        </w:rPr>
        <w:t>See, e.g.</w:t>
      </w:r>
      <w:r w:rsidRPr="00C9602B">
        <w:t>,</w:t>
      </w:r>
      <w:r>
        <w:t xml:space="preserve"> Appalachian Voices November 3, 2025 Comments at 2.</w:t>
      </w:r>
    </w:p>
  </w:footnote>
  <w:footnote w:id="179">
    <w:p w14:paraId="7ACC709D" w14:textId="176992CD" w:rsidR="00F34F35" w:rsidRDefault="00F34F35" w:rsidP="00F34F35">
      <w:pPr>
        <w:pStyle w:val="FootnoteText"/>
      </w:pPr>
      <w:r>
        <w:rPr>
          <w:rStyle w:val="FootnoteReference"/>
        </w:rPr>
        <w:footnoteRef/>
      </w:r>
      <w:r>
        <w:t xml:space="preserve"> 7 Directions of Service November 3, 2025 Comment</w:t>
      </w:r>
      <w:r w:rsidR="00DC04CB">
        <w:t>s</w:t>
      </w:r>
      <w:r>
        <w:t xml:space="preserve"> at 2.</w:t>
      </w:r>
    </w:p>
  </w:footnote>
  <w:footnote w:id="180">
    <w:p w14:paraId="1F7DC222" w14:textId="396E3829" w:rsidR="00D9101D" w:rsidRPr="00B9158D" w:rsidRDefault="00D9101D" w:rsidP="00D9101D">
      <w:pPr>
        <w:pStyle w:val="FootnoteText"/>
      </w:pPr>
      <w:r>
        <w:rPr>
          <w:rStyle w:val="FootnoteReference"/>
        </w:rPr>
        <w:footnoteRef/>
      </w:r>
      <w:r w:rsidRPr="00B9158D">
        <w:t xml:space="preserve"> </w:t>
      </w:r>
      <w:r w:rsidR="00DC04CB">
        <w:t>EA</w:t>
      </w:r>
      <w:r w:rsidR="003A3C94" w:rsidRPr="00B9158D">
        <w:t xml:space="preserve"> </w:t>
      </w:r>
      <w:r w:rsidRPr="00B9158D">
        <w:t>at 63</w:t>
      </w:r>
      <w:r w:rsidR="00EF263F">
        <w:t>-86</w:t>
      </w:r>
      <w:r w:rsidRPr="00B9158D">
        <w:t>.</w:t>
      </w:r>
    </w:p>
  </w:footnote>
  <w:footnote w:id="181">
    <w:p w14:paraId="6CCD8812" w14:textId="76CCA16A" w:rsidR="005A5095" w:rsidRPr="007B2EE0" w:rsidRDefault="005A5095">
      <w:pPr>
        <w:pStyle w:val="FootnoteText"/>
      </w:pPr>
      <w:r>
        <w:rPr>
          <w:rStyle w:val="FootnoteReference"/>
        </w:rPr>
        <w:footnoteRef/>
      </w:r>
      <w:r>
        <w:t xml:space="preserve"> </w:t>
      </w:r>
      <w:r w:rsidR="007B2EE0">
        <w:rPr>
          <w:i/>
          <w:iCs/>
        </w:rPr>
        <w:t>Id.</w:t>
      </w:r>
      <w:r w:rsidR="007B2EE0">
        <w:t xml:space="preserve"> at 65.</w:t>
      </w:r>
    </w:p>
  </w:footnote>
  <w:footnote w:id="182">
    <w:p w14:paraId="1EF7A77C" w14:textId="0353B6C6" w:rsidR="00C13B89" w:rsidRDefault="00C13B89">
      <w:pPr>
        <w:pStyle w:val="FootnoteText"/>
      </w:pPr>
      <w:r>
        <w:rPr>
          <w:rStyle w:val="FootnoteReference"/>
        </w:rPr>
        <w:footnoteRef/>
      </w:r>
      <w:r>
        <w:t xml:space="preserve"> </w:t>
      </w:r>
      <w:r w:rsidR="00774F40">
        <w:rPr>
          <w:i/>
          <w:iCs/>
        </w:rPr>
        <w:t xml:space="preserve">Id. </w:t>
      </w:r>
      <w:r w:rsidR="00774F40">
        <w:t>at 70-71.</w:t>
      </w:r>
    </w:p>
  </w:footnote>
  <w:footnote w:id="183">
    <w:p w14:paraId="368D5749" w14:textId="160EF00E" w:rsidR="00D9101D" w:rsidRPr="00D56352" w:rsidRDefault="00D9101D" w:rsidP="00D9101D">
      <w:pPr>
        <w:pStyle w:val="FootnoteText"/>
      </w:pPr>
      <w:r w:rsidRPr="00D56352">
        <w:rPr>
          <w:rStyle w:val="FootnoteReference"/>
        </w:rPr>
        <w:footnoteRef/>
      </w:r>
      <w:r w:rsidR="003A3C94" w:rsidRPr="003A3C94">
        <w:rPr>
          <w:i/>
          <w:iCs/>
        </w:rPr>
        <w:t xml:space="preserve"> </w:t>
      </w:r>
      <w:r w:rsidR="003A3C94" w:rsidRPr="00C601FE">
        <w:rPr>
          <w:i/>
          <w:iCs/>
        </w:rPr>
        <w:t>Id.</w:t>
      </w:r>
      <w:r w:rsidR="003A3C94" w:rsidRPr="00B9158D">
        <w:t xml:space="preserve"> </w:t>
      </w:r>
      <w:r w:rsidR="00FD1244">
        <w:t>at 66</w:t>
      </w:r>
      <w:r w:rsidR="004026A7">
        <w:t>-86</w:t>
      </w:r>
      <w:r w:rsidR="00FD1244">
        <w:t xml:space="preserve">, </w:t>
      </w:r>
      <w:r w:rsidR="00D77DE3">
        <w:t>tbl.</w:t>
      </w:r>
      <w:r>
        <w:t xml:space="preserve"> 16</w:t>
      </w:r>
      <w:r w:rsidRPr="00D56352">
        <w:t>.</w:t>
      </w:r>
    </w:p>
  </w:footnote>
  <w:footnote w:id="184">
    <w:p w14:paraId="32C8B435" w14:textId="38362261" w:rsidR="00D16045" w:rsidRDefault="00D16045">
      <w:pPr>
        <w:pStyle w:val="FootnoteText"/>
      </w:pPr>
      <w:r>
        <w:rPr>
          <w:rStyle w:val="FootnoteReference"/>
        </w:rPr>
        <w:footnoteRef/>
      </w:r>
      <w:r>
        <w:t xml:space="preserve"> </w:t>
      </w:r>
      <w:r w:rsidR="000D02D2" w:rsidRPr="00372C97">
        <w:rPr>
          <w:i/>
          <w:iCs/>
        </w:rPr>
        <w:t>Seven Cnty.</w:t>
      </w:r>
      <w:r w:rsidR="000D02D2" w:rsidRPr="000D02D2">
        <w:t xml:space="preserve">, </w:t>
      </w:r>
      <w:r w:rsidR="00272BCB" w:rsidRPr="00272BCB">
        <w:t xml:space="preserve">605 U.S. </w:t>
      </w:r>
      <w:r w:rsidR="000D02D2" w:rsidRPr="000D02D2">
        <w:t>at 1</w:t>
      </w:r>
      <w:r w:rsidR="00272BCB">
        <w:t>83</w:t>
      </w:r>
      <w:r w:rsidR="000D02D2" w:rsidRPr="000D02D2">
        <w:t xml:space="preserve"> (“we doubly underscore again today, ‘inherent in NEPA</w:t>
      </w:r>
      <w:r w:rsidR="00DD7594">
        <w:t xml:space="preserve"> . . .</w:t>
      </w:r>
      <w:r w:rsidR="000D02D2" w:rsidRPr="000D02D2">
        <w:t xml:space="preserve"> is a rule of reason, which ensures that agencies determine whether and to what extent to prepare an EIS based on the usefulness of any new potential information to the decisionmaking process”’)</w:t>
      </w:r>
      <w:r w:rsidR="00DD7594">
        <w:t>.</w:t>
      </w:r>
      <w:r w:rsidR="00DD7594" w:rsidDel="000D02D2">
        <w:t xml:space="preserve"> </w:t>
      </w:r>
    </w:p>
  </w:footnote>
  <w:footnote w:id="185">
    <w:p w14:paraId="2864BBDD" w14:textId="514DEE7B" w:rsidR="002300FD" w:rsidRDefault="002300FD" w:rsidP="002300FD">
      <w:pPr>
        <w:pStyle w:val="FootnoteText"/>
      </w:pPr>
      <w:r>
        <w:rPr>
          <w:rStyle w:val="FootnoteReference"/>
        </w:rPr>
        <w:footnoteRef/>
      </w:r>
      <w:r>
        <w:t xml:space="preserve"> </w:t>
      </w:r>
      <w:r w:rsidRPr="0035062B">
        <w:rPr>
          <w:i/>
          <w:iCs/>
        </w:rPr>
        <w:t>See, e.g.</w:t>
      </w:r>
      <w:r w:rsidRPr="00C9602B">
        <w:t>,</w:t>
      </w:r>
      <w:r w:rsidRPr="006A570C">
        <w:t xml:space="preserve"> </w:t>
      </w:r>
      <w:r>
        <w:t>Sierra Club November 3, 2025 Comment</w:t>
      </w:r>
      <w:r w:rsidR="006A570C">
        <w:t>s</w:t>
      </w:r>
      <w:r>
        <w:t xml:space="preserve"> at 12 </w:t>
      </w:r>
      <w:r w:rsidR="00D77DE3">
        <w:t>&amp;</w:t>
      </w:r>
      <w:r>
        <w:t xml:space="preserve"> 359.</w:t>
      </w:r>
    </w:p>
  </w:footnote>
  <w:footnote w:id="186">
    <w:p w14:paraId="3B87DF2F" w14:textId="1FCC8768" w:rsidR="002300FD" w:rsidRDefault="002300FD" w:rsidP="002300FD">
      <w:pPr>
        <w:pStyle w:val="FootnoteText"/>
      </w:pPr>
      <w:r>
        <w:rPr>
          <w:rStyle w:val="FootnoteReference"/>
        </w:rPr>
        <w:footnoteRef/>
      </w:r>
      <w:r>
        <w:t xml:space="preserve"> Appalachian Voices November 3, 2025 </w:t>
      </w:r>
      <w:r w:rsidR="006A570C">
        <w:t xml:space="preserve">Comments </w:t>
      </w:r>
      <w:r>
        <w:t>at 14.</w:t>
      </w:r>
    </w:p>
  </w:footnote>
  <w:footnote w:id="187">
    <w:p w14:paraId="6689D601" w14:textId="40AC9665" w:rsidR="002300FD" w:rsidRPr="00DF0DE8" w:rsidRDefault="002300FD" w:rsidP="002300FD">
      <w:pPr>
        <w:pStyle w:val="FootnoteText"/>
      </w:pPr>
      <w:r>
        <w:rPr>
          <w:rStyle w:val="FootnoteReference"/>
        </w:rPr>
        <w:footnoteRef/>
      </w:r>
      <w:r>
        <w:t xml:space="preserve"> </w:t>
      </w:r>
      <w:r w:rsidR="00236F55" w:rsidRPr="007A1136">
        <w:rPr>
          <w:i/>
          <w:iCs/>
        </w:rPr>
        <w:t>Id.</w:t>
      </w:r>
      <w:r>
        <w:t xml:space="preserve"> at 11.</w:t>
      </w:r>
    </w:p>
  </w:footnote>
  <w:footnote w:id="188">
    <w:p w14:paraId="4E2C89BB" w14:textId="432C86BC" w:rsidR="002300FD" w:rsidRPr="00DF0DE8" w:rsidRDefault="002300FD" w:rsidP="006617FD">
      <w:pPr>
        <w:pStyle w:val="FootnoteText"/>
      </w:pPr>
      <w:r>
        <w:rPr>
          <w:rStyle w:val="FootnoteReference"/>
        </w:rPr>
        <w:footnoteRef/>
      </w:r>
      <w:r w:rsidRPr="00DF0DE8">
        <w:t xml:space="preserve"> F</w:t>
      </w:r>
      <w:r w:rsidR="00236F55">
        <w:t xml:space="preserve">inal </w:t>
      </w:r>
      <w:r w:rsidRPr="00DF0DE8">
        <w:t>EIS at 4-263.</w:t>
      </w:r>
      <w:r w:rsidR="00655BE0">
        <w:t xml:space="preserve">  </w:t>
      </w:r>
      <w:r w:rsidR="008A7D38">
        <w:t xml:space="preserve">We note that the final EIS was issued in 2020 and that subsequently, </w:t>
      </w:r>
      <w:r w:rsidR="0086586A" w:rsidRPr="0086586A">
        <w:t xml:space="preserve">the Supreme Court </w:t>
      </w:r>
      <w:r w:rsidR="008A7D38">
        <w:t>has</w:t>
      </w:r>
      <w:r w:rsidR="0086586A" w:rsidRPr="0086586A">
        <w:t xml:space="preserve"> held that NEPA does not require the Commission to consider downstream GHG emissions from the end use of transported gas as those are effects over which the Commission does not exercise regulatory authority.</w:t>
      </w:r>
      <w:r w:rsidR="0086586A">
        <w:t xml:space="preserve"> </w:t>
      </w:r>
      <w:r w:rsidR="0098644E">
        <w:t xml:space="preserve"> </w:t>
      </w:r>
      <w:r w:rsidR="0098644E" w:rsidRPr="0098644E">
        <w:rPr>
          <w:i/>
          <w:iCs/>
        </w:rPr>
        <w:t>Seven Cnty.</w:t>
      </w:r>
      <w:r w:rsidR="0098644E" w:rsidRPr="0098644E">
        <w:t xml:space="preserve">, </w:t>
      </w:r>
      <w:r w:rsidR="00392A0D">
        <w:t>605 U.S. at 188-90</w:t>
      </w:r>
      <w:r w:rsidR="0098644E" w:rsidRPr="0098644E">
        <w:t xml:space="preserve"> (2025) (explaining that “NEPA calls for the agency to focus on the environmental effects of the project itself;” and that agencies “are not required to analyze the effects of projects over which they do not exercise regulatory authority.”); </w:t>
      </w:r>
      <w:r w:rsidR="0098644E" w:rsidRPr="0098644E">
        <w:rPr>
          <w:i/>
          <w:iCs/>
        </w:rPr>
        <w:t>see also E. Tenn. Nat. Gas, LLC</w:t>
      </w:r>
      <w:r w:rsidR="0098644E" w:rsidRPr="0098644E">
        <w:t>, 192 FERC ¶ 61,153, at PP 23, 28 (2025).</w:t>
      </w:r>
    </w:p>
  </w:footnote>
  <w:footnote w:id="189">
    <w:p w14:paraId="41D0D02E" w14:textId="77777777" w:rsidR="00240D79" w:rsidRDefault="00240D79" w:rsidP="00240D79">
      <w:pPr>
        <w:pStyle w:val="FootnoteText"/>
      </w:pPr>
      <w:r>
        <w:rPr>
          <w:rStyle w:val="FootnoteReference"/>
        </w:rPr>
        <w:footnoteRef/>
      </w:r>
      <w:r>
        <w:t xml:space="preserve"> </w:t>
      </w:r>
      <w:r w:rsidRPr="002D4FF3">
        <w:rPr>
          <w:i/>
          <w:iCs/>
        </w:rPr>
        <w:t>WildEarth Guardians v. Conner</w:t>
      </w:r>
      <w:r w:rsidRPr="002D4FF3">
        <w:t xml:space="preserve">, 920 F.3d 1245, 1258 (10th Cir. 2019) (quoting </w:t>
      </w:r>
      <w:r w:rsidRPr="002D4FF3">
        <w:rPr>
          <w:i/>
          <w:iCs/>
        </w:rPr>
        <w:t xml:space="preserve">Biodiversity Conservation </w:t>
      </w:r>
      <w:r>
        <w:rPr>
          <w:i/>
          <w:iCs/>
        </w:rPr>
        <w:t>All.</w:t>
      </w:r>
      <w:r w:rsidRPr="002D4FF3">
        <w:rPr>
          <w:i/>
          <w:iCs/>
        </w:rPr>
        <w:t xml:space="preserve"> v. U.S. Forest Serv.</w:t>
      </w:r>
      <w:r w:rsidRPr="002D4FF3">
        <w:t>, 765 F.3d 1264, 1270 (10th Cir. 2014))</w:t>
      </w:r>
      <w:r>
        <w:t>.</w:t>
      </w:r>
    </w:p>
  </w:footnote>
  <w:footnote w:id="190">
    <w:p w14:paraId="02CF5A2B" w14:textId="4FBA936B" w:rsidR="00240D79" w:rsidRDefault="00240D79" w:rsidP="00240D79">
      <w:pPr>
        <w:pStyle w:val="FootnoteText"/>
      </w:pPr>
      <w:r>
        <w:rPr>
          <w:rStyle w:val="FootnoteReference"/>
        </w:rPr>
        <w:footnoteRef/>
      </w:r>
      <w:r>
        <w:t xml:space="preserve"> </w:t>
      </w:r>
      <w:r w:rsidRPr="009E1D77">
        <w:rPr>
          <w:i/>
          <w:iCs/>
        </w:rPr>
        <w:t>Seven Cnty.</w:t>
      </w:r>
      <w:r w:rsidRPr="00955B5E">
        <w:t xml:space="preserve">, </w:t>
      </w:r>
      <w:r w:rsidR="00CD0CE9">
        <w:t>605 U.S. at 181</w:t>
      </w:r>
      <w:r>
        <w:t>.</w:t>
      </w:r>
    </w:p>
  </w:footnote>
  <w:footnote w:id="191">
    <w:p w14:paraId="64F74ABF" w14:textId="6F8D34AF" w:rsidR="00BB5B43" w:rsidRDefault="00BB5B43" w:rsidP="00BB5B43">
      <w:pPr>
        <w:pStyle w:val="FootnoteText"/>
      </w:pPr>
      <w:r>
        <w:rPr>
          <w:rStyle w:val="FootnoteReference"/>
        </w:rPr>
        <w:footnoteRef/>
      </w:r>
      <w:r>
        <w:t xml:space="preserve"> </w:t>
      </w:r>
      <w:r w:rsidR="00797136" w:rsidRPr="00606009">
        <w:t>Our Children’s Trust’s</w:t>
      </w:r>
      <w:r w:rsidR="000A5DA4">
        <w:t xml:space="preserve"> November 3, 2025 Comment</w:t>
      </w:r>
      <w:r w:rsidR="00FE58DA">
        <w:t>s</w:t>
      </w:r>
      <w:r w:rsidR="00424AA2">
        <w:t xml:space="preserve"> at 2</w:t>
      </w:r>
      <w:r>
        <w:t>.</w:t>
      </w:r>
    </w:p>
  </w:footnote>
  <w:footnote w:id="192">
    <w:p w14:paraId="5961A2D3" w14:textId="7A4CD631" w:rsidR="006F2EB7" w:rsidRDefault="006F2EB7">
      <w:pPr>
        <w:pStyle w:val="FootnoteText"/>
      </w:pPr>
      <w:r>
        <w:rPr>
          <w:rStyle w:val="FootnoteReference"/>
        </w:rPr>
        <w:footnoteRef/>
      </w:r>
      <w:r>
        <w:t xml:space="preserve"> </w:t>
      </w:r>
      <w:r w:rsidRPr="006F2EB7">
        <w:rPr>
          <w:i/>
          <w:iCs/>
        </w:rPr>
        <w:t xml:space="preserve">See </w:t>
      </w:r>
      <w:r w:rsidRPr="006F2EB7">
        <w:t>EA at 54.</w:t>
      </w:r>
    </w:p>
  </w:footnote>
  <w:footnote w:id="193">
    <w:p w14:paraId="14B2A175" w14:textId="6FF2397D" w:rsidR="006D0778" w:rsidRDefault="006D0778">
      <w:pPr>
        <w:pStyle w:val="FootnoteText"/>
      </w:pPr>
      <w:r>
        <w:rPr>
          <w:rStyle w:val="FootnoteReference"/>
        </w:rPr>
        <w:footnoteRef/>
      </w:r>
      <w:r>
        <w:t xml:space="preserve"> Appalachian Mountain Advocates </w:t>
      </w:r>
      <w:r w:rsidR="001828EF">
        <w:t>November 3, 2025 Comments at 7.</w:t>
      </w:r>
    </w:p>
  </w:footnote>
  <w:footnote w:id="194">
    <w:p w14:paraId="4AB95360" w14:textId="61902F08" w:rsidR="00FE4FF1" w:rsidRDefault="00FE4FF1" w:rsidP="00FE4FF1">
      <w:pPr>
        <w:pStyle w:val="FootnoteText"/>
      </w:pPr>
      <w:r>
        <w:rPr>
          <w:rStyle w:val="FootnoteReference"/>
        </w:rPr>
        <w:footnoteRef/>
      </w:r>
      <w:r>
        <w:t xml:space="preserve"> </w:t>
      </w:r>
      <w:r w:rsidRPr="00291245">
        <w:rPr>
          <w:i/>
        </w:rPr>
        <w:t>See, e.g.</w:t>
      </w:r>
      <w:r w:rsidRPr="00606009">
        <w:t>,</w:t>
      </w:r>
      <w:r w:rsidRPr="003B1144">
        <w:rPr>
          <w:iCs/>
        </w:rPr>
        <w:t xml:space="preserve"> </w:t>
      </w:r>
      <w:r>
        <w:t>Sierra Club November 3, 2025 Comment</w:t>
      </w:r>
      <w:r w:rsidR="003B1144">
        <w:t>s</w:t>
      </w:r>
      <w:r>
        <w:t xml:space="preserve"> at 19.</w:t>
      </w:r>
    </w:p>
  </w:footnote>
  <w:footnote w:id="195">
    <w:p w14:paraId="1A741A86" w14:textId="77777777" w:rsidR="003A7597" w:rsidRDefault="003A7597" w:rsidP="003A7597">
      <w:pPr>
        <w:pStyle w:val="FootnoteText"/>
      </w:pPr>
      <w:r>
        <w:rPr>
          <w:rStyle w:val="FootnoteReference"/>
        </w:rPr>
        <w:footnoteRef/>
      </w:r>
      <w:r>
        <w:t xml:space="preserve"> Mountain Valley November 3, 2025 Comments at 3-4; </w:t>
      </w:r>
      <w:r>
        <w:rPr>
          <w:i/>
          <w:iCs/>
        </w:rPr>
        <w:t xml:space="preserve">see </w:t>
      </w:r>
      <w:r>
        <w:t>EA at 92-94.</w:t>
      </w:r>
    </w:p>
  </w:footnote>
  <w:footnote w:id="196">
    <w:p w14:paraId="732A3402" w14:textId="77777777" w:rsidR="003A7597" w:rsidRPr="001629C2" w:rsidRDefault="003A7597" w:rsidP="003A7597">
      <w:pPr>
        <w:pStyle w:val="FootnoteText"/>
        <w:rPr>
          <w:lang w:val="nb-NO"/>
        </w:rPr>
      </w:pPr>
      <w:r>
        <w:rPr>
          <w:rStyle w:val="FootnoteReference"/>
        </w:rPr>
        <w:footnoteRef/>
      </w:r>
      <w:r w:rsidRPr="001629C2">
        <w:rPr>
          <w:lang w:val="nb-NO"/>
        </w:rPr>
        <w:t xml:space="preserve"> EA at 5.</w:t>
      </w:r>
    </w:p>
  </w:footnote>
  <w:footnote w:id="197">
    <w:p w14:paraId="215BEE7B" w14:textId="4C7EDEE8" w:rsidR="00C70121" w:rsidRDefault="00C70121">
      <w:pPr>
        <w:pStyle w:val="FootnoteText"/>
      </w:pPr>
      <w:r>
        <w:rPr>
          <w:rStyle w:val="FootnoteReference"/>
        </w:rPr>
        <w:footnoteRef/>
      </w:r>
      <w:r>
        <w:t xml:space="preserve"> </w:t>
      </w:r>
      <w:r w:rsidR="009F1165" w:rsidRPr="00E81C28">
        <w:t>42 U.S.C. § 4332(c)(iii)</w:t>
      </w:r>
      <w:r w:rsidR="00E84854">
        <w:t xml:space="preserve">; </w:t>
      </w:r>
      <w:r w:rsidR="00421CB9" w:rsidRPr="00372C97">
        <w:rPr>
          <w:i/>
          <w:iCs/>
        </w:rPr>
        <w:t xml:space="preserve">see </w:t>
      </w:r>
      <w:r w:rsidR="008F687D" w:rsidRPr="00372C97">
        <w:rPr>
          <w:i/>
          <w:iCs/>
        </w:rPr>
        <w:t>Seven Cnty.</w:t>
      </w:r>
      <w:r w:rsidR="008F687D">
        <w:t xml:space="preserve">, 605 U.S. </w:t>
      </w:r>
      <w:r w:rsidR="00A31FF6">
        <w:t>at</w:t>
      </w:r>
      <w:r w:rsidR="008F687D">
        <w:t xml:space="preserve"> 181</w:t>
      </w:r>
      <w:r w:rsidR="00A31FF6">
        <w:t>-</w:t>
      </w:r>
      <w:r w:rsidR="008F687D">
        <w:t>82 (</w:t>
      </w:r>
      <w:r w:rsidR="00E15C26" w:rsidRPr="00E15C26">
        <w:t xml:space="preserve">explaining that agencies are entitled to </w:t>
      </w:r>
      <w:r w:rsidR="00CB4A60">
        <w:t xml:space="preserve">substantial </w:t>
      </w:r>
      <w:r w:rsidR="00E15C26" w:rsidRPr="00E15C26">
        <w:t xml:space="preserve">deference </w:t>
      </w:r>
      <w:r w:rsidR="005649E1">
        <w:t>in</w:t>
      </w:r>
      <w:r w:rsidR="00E15C26" w:rsidRPr="00E15C26">
        <w:t xml:space="preserve"> </w:t>
      </w:r>
      <w:r w:rsidR="005A7E04">
        <w:t>assessing alternatives</w:t>
      </w:r>
      <w:r w:rsidR="00E15C26" w:rsidRPr="00E15C26">
        <w:t xml:space="preserve">, including </w:t>
      </w:r>
      <w:r w:rsidR="001A00C8">
        <w:t xml:space="preserve">what </w:t>
      </w:r>
      <w:r w:rsidR="00CC6577">
        <w:t xml:space="preserve">alternatives </w:t>
      </w:r>
      <w:r w:rsidR="00E75589">
        <w:t>qualif</w:t>
      </w:r>
      <w:r w:rsidR="00CC6577">
        <w:t>y</w:t>
      </w:r>
      <w:r w:rsidR="00E75589">
        <w:t xml:space="preserve"> as </w:t>
      </w:r>
      <w:r w:rsidR="00C51534">
        <w:t>feasible</w:t>
      </w:r>
      <w:r w:rsidR="00CB4A60">
        <w:t>.</w:t>
      </w:r>
      <w:r w:rsidR="005F1AF0">
        <w:t>”)</w:t>
      </w:r>
    </w:p>
  </w:footnote>
  <w:footnote w:id="198">
    <w:p w14:paraId="627D4DFE" w14:textId="719C14F7" w:rsidR="00C70121" w:rsidRDefault="00C70121">
      <w:pPr>
        <w:pStyle w:val="FootnoteText"/>
      </w:pPr>
      <w:r>
        <w:rPr>
          <w:rStyle w:val="FootnoteReference"/>
        </w:rPr>
        <w:footnoteRef/>
      </w:r>
      <w:r>
        <w:t xml:space="preserve"> </w:t>
      </w:r>
      <w:r w:rsidR="00EF553C" w:rsidRPr="00E81C28">
        <w:rPr>
          <w:i/>
          <w:iCs/>
        </w:rPr>
        <w:t>Citizens Against Burlington, Inc. v. Busey</w:t>
      </w:r>
      <w:r w:rsidR="00EF553C" w:rsidRPr="00E81C28">
        <w:t>, 938 F.2d 190, 196 (D.C. Cir. 1991)</w:t>
      </w:r>
      <w:r w:rsidR="00EF553C" w:rsidRPr="00EF553C">
        <w:t>; </w:t>
      </w:r>
      <w:r w:rsidR="00EF553C" w:rsidRPr="00E81C28">
        <w:rPr>
          <w:i/>
          <w:iCs/>
        </w:rPr>
        <w:t>Transcon. Gas Pipe Line Co.</w:t>
      </w:r>
      <w:r w:rsidR="00EF553C" w:rsidRPr="00E81C28">
        <w:t>, 186 FERC ¶ 61,047, at P 48 (2024)</w:t>
      </w:r>
      <w:r w:rsidR="00EF553C" w:rsidRPr="00EF553C">
        <w:t>.</w:t>
      </w:r>
    </w:p>
  </w:footnote>
  <w:footnote w:id="199">
    <w:p w14:paraId="48181617" w14:textId="43BE7C33" w:rsidR="00C70121" w:rsidRDefault="00C70121">
      <w:pPr>
        <w:pStyle w:val="FootnoteText"/>
      </w:pPr>
      <w:r>
        <w:rPr>
          <w:rStyle w:val="FootnoteReference"/>
        </w:rPr>
        <w:footnoteRef/>
      </w:r>
      <w:r>
        <w:t xml:space="preserve"> </w:t>
      </w:r>
      <w:r w:rsidR="00D25DC3" w:rsidRPr="00D25DC3">
        <w:rPr>
          <w:i/>
          <w:iCs/>
        </w:rPr>
        <w:t>See e.g.</w:t>
      </w:r>
      <w:r w:rsidR="00D25DC3" w:rsidRPr="00606009">
        <w:t>, </w:t>
      </w:r>
      <w:r w:rsidR="00D25DC3" w:rsidRPr="00E81C28">
        <w:rPr>
          <w:i/>
          <w:iCs/>
        </w:rPr>
        <w:t>City of Grapevine, Tex. v. Dep’t of Transp</w:t>
      </w:r>
      <w:r w:rsidR="00D25DC3" w:rsidRPr="00E81C28">
        <w:t>., 17 F.3d 1502, 1506 (D.C. Cir. 1994)</w:t>
      </w:r>
      <w:r w:rsidR="00D25DC3" w:rsidRPr="00D25DC3">
        <w:t>; </w:t>
      </w:r>
      <w:r w:rsidR="00D25DC3" w:rsidRPr="00E81C28">
        <w:rPr>
          <w:i/>
          <w:iCs/>
        </w:rPr>
        <w:t>Citizens Against Burlington, Inc. v. Busey</w:t>
      </w:r>
      <w:r w:rsidR="00D25DC3" w:rsidRPr="00E81C28">
        <w:t>, 938 F.2d at 199</w:t>
      </w:r>
      <w:r w:rsidR="00D25DC3" w:rsidRPr="00D25DC3">
        <w:t> (explaining that the evaluation of alternatives is “shaped by the application at issue and by the function that the agency plays in the decisional process”).</w:t>
      </w:r>
    </w:p>
  </w:footnote>
  <w:footnote w:id="200">
    <w:p w14:paraId="4313B3B8" w14:textId="1CD6E11D" w:rsidR="00F47914" w:rsidRDefault="00F47914">
      <w:pPr>
        <w:pStyle w:val="FootnoteText"/>
      </w:pPr>
      <w:r>
        <w:rPr>
          <w:rStyle w:val="FootnoteReference"/>
        </w:rPr>
        <w:footnoteRef/>
      </w:r>
      <w:r>
        <w:t xml:space="preserve"> </w:t>
      </w:r>
      <w:r w:rsidR="005B0A0A">
        <w:t>EA at 91-95.</w:t>
      </w:r>
    </w:p>
  </w:footnote>
  <w:footnote w:id="201">
    <w:p w14:paraId="42C077B8" w14:textId="77777777" w:rsidR="00FE4FF1" w:rsidRDefault="00FE4FF1" w:rsidP="00FE4FF1">
      <w:pPr>
        <w:pStyle w:val="FootnoteText"/>
      </w:pPr>
      <w:r>
        <w:rPr>
          <w:rStyle w:val="FootnoteReference"/>
        </w:rPr>
        <w:footnoteRef/>
      </w:r>
      <w:r>
        <w:t xml:space="preserve"> EA at 91.</w:t>
      </w:r>
    </w:p>
  </w:footnote>
  <w:footnote w:id="202">
    <w:p w14:paraId="1F0DD38F" w14:textId="77777777" w:rsidR="00E16CFB" w:rsidRPr="001629C2" w:rsidRDefault="00E16CFB" w:rsidP="00E16CFB">
      <w:pPr>
        <w:pStyle w:val="FootnoteText"/>
        <w:rPr>
          <w:lang w:val="nb-NO"/>
        </w:rPr>
      </w:pPr>
      <w:r>
        <w:rPr>
          <w:rStyle w:val="FootnoteReference"/>
        </w:rPr>
        <w:footnoteRef/>
      </w:r>
      <w:r w:rsidRPr="001629C2" w:rsidDel="00336801">
        <w:rPr>
          <w:lang w:val="nb-NO"/>
        </w:rPr>
        <w:t xml:space="preserve"> </w:t>
      </w:r>
      <w:r w:rsidRPr="001629C2">
        <w:rPr>
          <w:i/>
          <w:lang w:val="nb-NO"/>
        </w:rPr>
        <w:t xml:space="preserve">Id. </w:t>
      </w:r>
      <w:r w:rsidRPr="001629C2">
        <w:rPr>
          <w:lang w:val="nb-NO"/>
        </w:rPr>
        <w:t>at 5.</w:t>
      </w:r>
    </w:p>
  </w:footnote>
  <w:footnote w:id="203">
    <w:p w14:paraId="7079DD1A" w14:textId="087EA5E0" w:rsidR="00E16CFB" w:rsidRPr="001629C2" w:rsidRDefault="00E16CFB" w:rsidP="00E16CFB">
      <w:pPr>
        <w:pStyle w:val="FootnoteText"/>
        <w:rPr>
          <w:lang w:val="nb-NO"/>
        </w:rPr>
      </w:pPr>
      <w:r>
        <w:rPr>
          <w:rStyle w:val="FootnoteReference"/>
        </w:rPr>
        <w:footnoteRef/>
      </w:r>
      <w:r w:rsidRPr="001629C2" w:rsidDel="00336801">
        <w:rPr>
          <w:lang w:val="nb-NO"/>
        </w:rPr>
        <w:t xml:space="preserve"> </w:t>
      </w:r>
      <w:r w:rsidRPr="001629C2">
        <w:rPr>
          <w:i/>
          <w:iCs/>
          <w:lang w:val="nb-NO"/>
        </w:rPr>
        <w:t xml:space="preserve">Id. </w:t>
      </w:r>
      <w:r w:rsidRPr="001629C2">
        <w:rPr>
          <w:lang w:val="nb-NO"/>
        </w:rPr>
        <w:t>at 9</w:t>
      </w:r>
      <w:r w:rsidR="00BC6847">
        <w:rPr>
          <w:lang w:val="nb-NO"/>
        </w:rPr>
        <w:t>3</w:t>
      </w:r>
      <w:r w:rsidRPr="001629C2">
        <w:rPr>
          <w:lang w:val="nb-NO"/>
        </w:rPr>
        <w:t>-9</w:t>
      </w:r>
      <w:r w:rsidR="00BC6847">
        <w:rPr>
          <w:lang w:val="nb-NO"/>
        </w:rPr>
        <w:t>4</w:t>
      </w:r>
      <w:r w:rsidRPr="001629C2">
        <w:rPr>
          <w:lang w:val="nb-NO"/>
        </w:rPr>
        <w:t>.</w:t>
      </w:r>
    </w:p>
  </w:footnote>
  <w:footnote w:id="204">
    <w:p w14:paraId="0E242B94" w14:textId="1D5DB480" w:rsidR="00E16CFB" w:rsidRPr="00426BAE" w:rsidRDefault="00E16CFB" w:rsidP="00E16CFB">
      <w:pPr>
        <w:pStyle w:val="FootnoteText"/>
      </w:pPr>
      <w:r>
        <w:rPr>
          <w:rStyle w:val="FootnoteReference"/>
        </w:rPr>
        <w:footnoteRef/>
      </w:r>
      <w:r>
        <w:t xml:space="preserve"> </w:t>
      </w:r>
      <w:r>
        <w:rPr>
          <w:i/>
          <w:iCs/>
        </w:rPr>
        <w:t>See supra</w:t>
      </w:r>
      <w:r>
        <w:t xml:space="preserve"> </w:t>
      </w:r>
      <w:r w:rsidRPr="00060A49">
        <w:t>P</w:t>
      </w:r>
      <w:r w:rsidR="00BC6847">
        <w:t>P</w:t>
      </w:r>
      <w:r w:rsidRPr="00060A49">
        <w:t xml:space="preserve"> 2</w:t>
      </w:r>
      <w:r w:rsidR="004139D8">
        <w:t>7-30</w:t>
      </w:r>
      <w:r w:rsidRPr="00060A49">
        <w:t>.</w:t>
      </w:r>
    </w:p>
  </w:footnote>
  <w:footnote w:id="205">
    <w:p w14:paraId="14AE9C7E" w14:textId="3900DBC7" w:rsidR="002A21AE" w:rsidRPr="00371E25" w:rsidRDefault="002A21AE" w:rsidP="002A21AE">
      <w:pPr>
        <w:pStyle w:val="FootnoteText"/>
        <w:rPr>
          <w:b/>
        </w:rPr>
      </w:pPr>
      <w:r w:rsidRPr="00291245">
        <w:rPr>
          <w:rStyle w:val="FootnoteReference"/>
        </w:rPr>
        <w:footnoteRef/>
      </w:r>
      <w:r w:rsidRPr="00291245">
        <w:rPr>
          <w:rStyle w:val="FootnoteReference"/>
        </w:rPr>
        <w:t xml:space="preserve"> </w:t>
      </w:r>
      <w:r w:rsidRPr="001610C2">
        <w:rPr>
          <w:i/>
          <w:szCs w:val="26"/>
        </w:rPr>
        <w:t>Se</w:t>
      </w:r>
      <w:r>
        <w:rPr>
          <w:i/>
          <w:szCs w:val="26"/>
        </w:rPr>
        <w:t>e, e.g.</w:t>
      </w:r>
      <w:r>
        <w:rPr>
          <w:iCs/>
          <w:szCs w:val="26"/>
        </w:rPr>
        <w:t>, Carly Diaz October 27, 2025 Comments</w:t>
      </w:r>
      <w:r w:rsidR="008075D2">
        <w:rPr>
          <w:iCs/>
          <w:szCs w:val="26"/>
        </w:rPr>
        <w:t>;</w:t>
      </w:r>
      <w:r>
        <w:rPr>
          <w:iCs/>
          <w:szCs w:val="26"/>
        </w:rPr>
        <w:t xml:space="preserve"> Katherine Williams October 27, 2025 Comments</w:t>
      </w:r>
      <w:r w:rsidR="008075D2">
        <w:rPr>
          <w:iCs/>
          <w:szCs w:val="26"/>
        </w:rPr>
        <w:t>;</w:t>
      </w:r>
      <w:r>
        <w:rPr>
          <w:iCs/>
          <w:szCs w:val="26"/>
        </w:rPr>
        <w:t xml:space="preserve"> Nancy Trevino October 27, 2025 Comments</w:t>
      </w:r>
      <w:r w:rsidR="008075D2">
        <w:rPr>
          <w:iCs/>
          <w:szCs w:val="26"/>
        </w:rPr>
        <w:t>;</w:t>
      </w:r>
      <w:r>
        <w:rPr>
          <w:iCs/>
          <w:szCs w:val="26"/>
        </w:rPr>
        <w:t xml:space="preserve"> Georgia Haverty October 29, 2025 Comments</w:t>
      </w:r>
      <w:r w:rsidRPr="00371E25">
        <w:t>.</w:t>
      </w:r>
    </w:p>
  </w:footnote>
  <w:footnote w:id="206">
    <w:p w14:paraId="74B3B80D" w14:textId="77777777" w:rsidR="009D0B9C" w:rsidRDefault="009D0B9C" w:rsidP="009D0B9C">
      <w:pPr>
        <w:pStyle w:val="FootnoteText"/>
      </w:pPr>
      <w:r>
        <w:rPr>
          <w:rStyle w:val="FootnoteReference"/>
        </w:rPr>
        <w:footnoteRef/>
      </w:r>
      <w:r>
        <w:t xml:space="preserve"> </w:t>
      </w:r>
      <w:r w:rsidRPr="008838CE">
        <w:t xml:space="preserve">Sierra Club v. FERC, 38 F.4th </w:t>
      </w:r>
      <w:r>
        <w:t>at</w:t>
      </w:r>
      <w:r w:rsidRPr="008838CE">
        <w:t xml:space="preserve"> 232-33</w:t>
      </w:r>
      <w:r>
        <w:t>.</w:t>
      </w:r>
    </w:p>
  </w:footnote>
  <w:footnote w:id="207">
    <w:p w14:paraId="2DA8C77B" w14:textId="77777777" w:rsidR="009D0B9C" w:rsidRPr="008838CE" w:rsidRDefault="009D0B9C" w:rsidP="009D0B9C">
      <w:pPr>
        <w:pStyle w:val="FootnoteText"/>
        <w:rPr>
          <w:u w:val="single"/>
        </w:rPr>
      </w:pPr>
      <w:r>
        <w:rPr>
          <w:rStyle w:val="FootnoteReference"/>
        </w:rPr>
        <w:footnoteRef/>
      </w:r>
      <w:r>
        <w:t xml:space="preserve"> </w:t>
      </w:r>
      <w:r>
        <w:rPr>
          <w:i/>
          <w:iCs/>
        </w:rPr>
        <w:t xml:space="preserve">Id. </w:t>
      </w:r>
    </w:p>
  </w:footnote>
  <w:footnote w:id="208">
    <w:p w14:paraId="2987A5D1" w14:textId="2EE26440" w:rsidR="004310D9" w:rsidRDefault="004310D9">
      <w:pPr>
        <w:pStyle w:val="FootnoteText"/>
      </w:pPr>
      <w:r>
        <w:rPr>
          <w:rStyle w:val="FootnoteReference"/>
        </w:rPr>
        <w:footnoteRef/>
      </w:r>
      <w:r>
        <w:t xml:space="preserve"> </w:t>
      </w:r>
      <w:r w:rsidR="00D861F1">
        <w:t>Virginia DEQ, the state agency</w:t>
      </w:r>
      <w:r w:rsidR="002B7CE1">
        <w:t xml:space="preserve"> </w:t>
      </w:r>
      <w:r w:rsidR="00835233">
        <w:t>with water quality oversight</w:t>
      </w:r>
      <w:r w:rsidR="0041093A">
        <w:t xml:space="preserve"> under the Clean Water Act</w:t>
      </w:r>
      <w:r w:rsidR="00835233">
        <w:t>,</w:t>
      </w:r>
      <w:r w:rsidR="0041093A">
        <w:t xml:space="preserve"> </w:t>
      </w:r>
      <w:r w:rsidR="00342818">
        <w:t>found</w:t>
      </w:r>
      <w:r w:rsidR="00762093">
        <w:t xml:space="preserve"> that</w:t>
      </w:r>
      <w:r w:rsidR="000A667F">
        <w:t>:</w:t>
      </w:r>
      <w:r w:rsidR="00762093">
        <w:t xml:space="preserve"> </w:t>
      </w:r>
      <w:r w:rsidR="00835233">
        <w:t xml:space="preserve"> </w:t>
      </w:r>
      <w:r w:rsidR="000A667F" w:rsidRPr="000A667F">
        <w:t>“</w:t>
      </w:r>
      <w:r w:rsidR="000A667F">
        <w:t>[t]</w:t>
      </w:r>
      <w:r w:rsidR="000A667F" w:rsidRPr="000A667F">
        <w:t xml:space="preserve">he majority of these violations did not result in any impact on water quality or the environment and that </w:t>
      </w:r>
      <w:r w:rsidR="00FB51B9">
        <w:t>…</w:t>
      </w:r>
      <w:r w:rsidR="000A667F" w:rsidRPr="000A667F">
        <w:t xml:space="preserve">  A number were paperwork violations, such as failing to keep a daily log of project activities related to environmental permit compliance and corrective measures implementation.</w:t>
      </w:r>
      <w:r w:rsidR="00FB51B9">
        <w:t xml:space="preserve">”  </w:t>
      </w:r>
      <w:r w:rsidR="002852DD">
        <w:t>U.S. Department of Agr</w:t>
      </w:r>
      <w:r w:rsidR="00953AE6">
        <w:t>iculture</w:t>
      </w:r>
      <w:r w:rsidR="00AB65C0">
        <w:t>,</w:t>
      </w:r>
      <w:r w:rsidR="00FD0318">
        <w:t xml:space="preserve"> </w:t>
      </w:r>
      <w:r w:rsidR="00106EF4">
        <w:t>Final Supplemental EIS</w:t>
      </w:r>
      <w:r w:rsidR="00B21D7A">
        <w:t xml:space="preserve">, </w:t>
      </w:r>
      <w:r w:rsidR="00144086">
        <w:t>Docket No. CP16-1</w:t>
      </w:r>
      <w:r w:rsidR="00202615">
        <w:t>0</w:t>
      </w:r>
      <w:r w:rsidR="00144086">
        <w:t>-000</w:t>
      </w:r>
      <w:r w:rsidR="004E39D3">
        <w:t xml:space="preserve">, at </w:t>
      </w:r>
      <w:r w:rsidR="00CD78DA">
        <w:t>47 (file</w:t>
      </w:r>
      <w:r w:rsidR="00E47300">
        <w:t xml:space="preserve">d </w:t>
      </w:r>
      <w:r w:rsidR="00B21D7A">
        <w:t xml:space="preserve">April </w:t>
      </w:r>
      <w:r w:rsidR="003851AE">
        <w:t>17, 2023</w:t>
      </w:r>
      <w:r w:rsidR="00E47300">
        <w:t>)</w:t>
      </w:r>
    </w:p>
  </w:footnote>
  <w:footnote w:id="209">
    <w:p w14:paraId="3DE55FC9" w14:textId="2BED269D" w:rsidR="00605BF2" w:rsidRPr="00605BF2" w:rsidRDefault="00605BF2">
      <w:pPr>
        <w:pStyle w:val="FootnoteText"/>
      </w:pPr>
      <w:r>
        <w:rPr>
          <w:rStyle w:val="FootnoteReference"/>
        </w:rPr>
        <w:footnoteRef/>
      </w:r>
      <w:r>
        <w:t xml:space="preserve"> </w:t>
      </w:r>
      <w:r>
        <w:rPr>
          <w:i/>
          <w:iCs/>
        </w:rPr>
        <w:t>See Mountain Valley Pipeline, LLC</w:t>
      </w:r>
      <w:r>
        <w:t>, 179 FERC ¶ 61,013, at P 133 (2022)</w:t>
      </w:r>
      <w:r w:rsidR="00532A4B">
        <w:t>.</w:t>
      </w:r>
    </w:p>
  </w:footnote>
  <w:footnote w:id="210">
    <w:p w14:paraId="1756DD78" w14:textId="4231B68B" w:rsidR="00EC2D22" w:rsidRPr="00371E25" w:rsidRDefault="00EC2D22" w:rsidP="00EC2D22">
      <w:pPr>
        <w:pStyle w:val="FootnoteText"/>
        <w:rPr>
          <w:b/>
        </w:rPr>
      </w:pPr>
      <w:r w:rsidRPr="00291245">
        <w:rPr>
          <w:rStyle w:val="FootnoteReference"/>
        </w:rPr>
        <w:footnoteRef/>
      </w:r>
      <w:r w:rsidRPr="00371E25">
        <w:t xml:space="preserve"> </w:t>
      </w:r>
      <w:r w:rsidRPr="00246B4D">
        <w:rPr>
          <w:iCs/>
          <w:szCs w:val="26"/>
        </w:rPr>
        <w:t xml:space="preserve">EA </w:t>
      </w:r>
      <w:r w:rsidRPr="003C7D8B">
        <w:rPr>
          <w:iCs/>
          <w:szCs w:val="26"/>
        </w:rPr>
        <w:t xml:space="preserve">at </w:t>
      </w:r>
      <w:r w:rsidR="00880FFC">
        <w:rPr>
          <w:iCs/>
          <w:szCs w:val="26"/>
        </w:rPr>
        <w:t>T</w:t>
      </w:r>
      <w:r w:rsidRPr="003C7D8B">
        <w:rPr>
          <w:iCs/>
          <w:szCs w:val="26"/>
        </w:rPr>
        <w:t>able 3</w:t>
      </w:r>
      <w:r w:rsidRPr="003C7D8B">
        <w:rPr>
          <w:iCs/>
        </w:rPr>
        <w:t>.</w:t>
      </w:r>
    </w:p>
  </w:footnote>
  <w:footnote w:id="211">
    <w:p w14:paraId="580AD042" w14:textId="77777777" w:rsidR="005D2F23" w:rsidRPr="00371E25" w:rsidRDefault="005D2F23" w:rsidP="005D2F23">
      <w:pPr>
        <w:pStyle w:val="FootnoteText"/>
        <w:rPr>
          <w:b/>
        </w:rPr>
      </w:pPr>
      <w:r w:rsidRPr="00291245">
        <w:rPr>
          <w:rStyle w:val="FootnoteReference"/>
        </w:rPr>
        <w:footnoteRef/>
      </w:r>
      <w:r w:rsidRPr="00371E25">
        <w:t xml:space="preserve"> </w:t>
      </w:r>
      <w:r>
        <w:rPr>
          <w:iCs/>
          <w:szCs w:val="26"/>
        </w:rPr>
        <w:t>Katherine Williams October 27, 2025 Comments at 1</w:t>
      </w:r>
      <w:r w:rsidRPr="00371E25">
        <w:t>.</w:t>
      </w:r>
    </w:p>
  </w:footnote>
  <w:footnote w:id="212">
    <w:p w14:paraId="7A7AF1B3" w14:textId="420B86F1" w:rsidR="00EC2D22" w:rsidRPr="00E24E27" w:rsidRDefault="00EC2D22" w:rsidP="00EC2D22">
      <w:pPr>
        <w:pStyle w:val="FootnoteText"/>
      </w:pPr>
      <w:r w:rsidRPr="0003042E">
        <w:rPr>
          <w:rStyle w:val="FootnoteReference"/>
        </w:rPr>
        <w:footnoteRef/>
      </w:r>
      <w:r>
        <w:t xml:space="preserve"> </w:t>
      </w:r>
      <w:r>
        <w:rPr>
          <w:i/>
          <w:iCs/>
        </w:rPr>
        <w:t>See Transcon</w:t>
      </w:r>
      <w:r w:rsidR="00DA76A8">
        <w:rPr>
          <w:i/>
          <w:iCs/>
        </w:rPr>
        <w:t>.</w:t>
      </w:r>
      <w:r>
        <w:rPr>
          <w:i/>
          <w:iCs/>
        </w:rPr>
        <w:t xml:space="preserve"> Gas Pipe Line Co., LLC</w:t>
      </w:r>
      <w:r>
        <w:t>, 154 FERC ¶ 61,166, at P 63 (2016).</w:t>
      </w:r>
    </w:p>
  </w:footnote>
  <w:footnote w:id="213">
    <w:p w14:paraId="2C8CE0CF" w14:textId="77777777" w:rsidR="00160B70" w:rsidRDefault="00160B70" w:rsidP="00160B70">
      <w:pPr>
        <w:pStyle w:val="FootnoteText"/>
      </w:pPr>
      <w:r>
        <w:rPr>
          <w:rStyle w:val="FootnoteReference"/>
        </w:rPr>
        <w:footnoteRef/>
      </w:r>
      <w:r>
        <w:t xml:space="preserve"> </w:t>
      </w:r>
      <w:r>
        <w:rPr>
          <w:iCs/>
          <w:szCs w:val="26"/>
        </w:rPr>
        <w:t>Katherine Williams October 27, 2025 Comments at 1</w:t>
      </w:r>
      <w:r w:rsidRPr="00371E25">
        <w:t>.</w:t>
      </w:r>
    </w:p>
  </w:footnote>
  <w:footnote w:id="214">
    <w:p w14:paraId="747109D1" w14:textId="5CF980E8" w:rsidR="00240302" w:rsidRPr="00CA2E2A" w:rsidRDefault="00240302" w:rsidP="00240302">
      <w:pPr>
        <w:pStyle w:val="FootnoteText"/>
      </w:pPr>
      <w:r>
        <w:rPr>
          <w:rStyle w:val="FootnoteReference"/>
        </w:rPr>
        <w:footnoteRef/>
      </w:r>
      <w:r>
        <w:t xml:space="preserve"> </w:t>
      </w:r>
      <w:r>
        <w:rPr>
          <w:i/>
          <w:iCs/>
        </w:rPr>
        <w:t>See, e.g.</w:t>
      </w:r>
      <w:r w:rsidRPr="00606009">
        <w:t>,</w:t>
      </w:r>
      <w:r>
        <w:rPr>
          <w:i/>
          <w:iCs/>
        </w:rPr>
        <w:t xml:space="preserve"> </w:t>
      </w:r>
      <w:r>
        <w:t>Sierra Club</w:t>
      </w:r>
      <w:r w:rsidR="000C6ED9">
        <w:t xml:space="preserve"> </w:t>
      </w:r>
      <w:r>
        <w:t>November 3, 2025 Comments at 136.</w:t>
      </w:r>
    </w:p>
  </w:footnote>
  <w:footnote w:id="215">
    <w:p w14:paraId="3E287661" w14:textId="77777777" w:rsidR="006F41BB" w:rsidRDefault="006F41BB" w:rsidP="006F41BB">
      <w:pPr>
        <w:pStyle w:val="FootnoteText"/>
      </w:pPr>
      <w:r>
        <w:rPr>
          <w:rStyle w:val="FootnoteReference"/>
        </w:rPr>
        <w:footnoteRef/>
      </w:r>
      <w:r>
        <w:t xml:space="preserve"> EA at 2.</w:t>
      </w:r>
    </w:p>
  </w:footnote>
  <w:footnote w:id="216">
    <w:p w14:paraId="65721E93" w14:textId="77777777" w:rsidR="002D5A75" w:rsidRDefault="002D5A75" w:rsidP="002D5A75">
      <w:pPr>
        <w:pStyle w:val="FootnoteText"/>
      </w:pPr>
      <w:r>
        <w:rPr>
          <w:rStyle w:val="FootnoteReference"/>
        </w:rPr>
        <w:footnoteRef/>
      </w:r>
      <w:r>
        <w:t xml:space="preserve"> </w:t>
      </w:r>
      <w:r w:rsidRPr="00AD2817">
        <w:rPr>
          <w:szCs w:val="26"/>
        </w:rPr>
        <w:t>Although the analysis in the EA provides substantial evidence for our conclusions in this order, it is the order itself that serves as our record of decision.  The order supersedes any inconsistent discussion in the EA.</w:t>
      </w:r>
    </w:p>
  </w:footnote>
  <w:footnote w:id="217">
    <w:p w14:paraId="660BD075" w14:textId="5BBB9CB3" w:rsidR="002D5A75" w:rsidRPr="006C2C68" w:rsidRDefault="002D5A75" w:rsidP="002D5A75">
      <w:pPr>
        <w:pStyle w:val="FootnoteText"/>
        <w:rPr>
          <w:szCs w:val="26"/>
        </w:rPr>
      </w:pPr>
      <w:r w:rsidRPr="00AD2817">
        <w:rPr>
          <w:rStyle w:val="FootnoteReference"/>
          <w:szCs w:val="26"/>
        </w:rPr>
        <w:footnoteRef/>
      </w:r>
      <w:r w:rsidRPr="00AD2817">
        <w:rPr>
          <w:szCs w:val="26"/>
        </w:rPr>
        <w:t xml:space="preserve"> We are not making a significance determination regarding GHG effects for the reasons discussed</w:t>
      </w:r>
      <w:r w:rsidR="00FA28D1">
        <w:rPr>
          <w:szCs w:val="26"/>
        </w:rPr>
        <w:t xml:space="preserve"> above.</w:t>
      </w:r>
      <w:r w:rsidR="006C2C68">
        <w:rPr>
          <w:szCs w:val="26"/>
        </w:rPr>
        <w:t xml:space="preserve">  </w:t>
      </w:r>
      <w:r w:rsidR="006C2C68">
        <w:rPr>
          <w:i/>
          <w:iCs/>
          <w:szCs w:val="26"/>
        </w:rPr>
        <w:t xml:space="preserve">Supra </w:t>
      </w:r>
      <w:r w:rsidR="006C2C68" w:rsidRPr="00E128F6">
        <w:rPr>
          <w:szCs w:val="26"/>
        </w:rPr>
        <w:t xml:space="preserve">note </w:t>
      </w:r>
      <w:r w:rsidR="00B367B4">
        <w:rPr>
          <w:szCs w:val="26"/>
        </w:rPr>
        <w:t>100</w:t>
      </w:r>
      <w:r w:rsidR="006C2C68">
        <w:rPr>
          <w:szCs w:val="26"/>
        </w:rPr>
        <w:t>.</w:t>
      </w:r>
    </w:p>
  </w:footnote>
  <w:footnote w:id="218">
    <w:p w14:paraId="17B836B4" w14:textId="77777777" w:rsidR="0090753C" w:rsidRPr="00595DD8" w:rsidRDefault="0090753C" w:rsidP="0090753C">
      <w:pPr>
        <w:pStyle w:val="FootnoteText"/>
        <w:spacing w:after="240"/>
        <w:rPr>
          <w:rFonts w:eastAsia="Times New Roman"/>
        </w:rPr>
      </w:pPr>
      <w:r w:rsidRPr="00BE7CA5">
        <w:rPr>
          <w:rStyle w:val="FootnoteReference"/>
          <w:rFonts w:eastAsia="Times New Roman"/>
          <w:szCs w:val="26"/>
        </w:rPr>
        <w:footnoteRef/>
      </w:r>
      <w:r w:rsidRPr="00BE7CA5">
        <w:rPr>
          <w:rFonts w:eastAsia="Times New Roman"/>
          <w:szCs w:val="26"/>
        </w:rPr>
        <w:t xml:space="preserve"> </w:t>
      </w:r>
      <w:r w:rsidRPr="00BE7CA5">
        <w:rPr>
          <w:rFonts w:eastAsia="Times New Roman"/>
          <w:i/>
          <w:szCs w:val="26"/>
        </w:rPr>
        <w:t>See</w:t>
      </w:r>
      <w:r w:rsidRPr="00BE7CA5">
        <w:rPr>
          <w:rFonts w:eastAsia="Times New Roman"/>
          <w:szCs w:val="26"/>
        </w:rPr>
        <w:t xml:space="preserve"> 15 U.S.C. § 717r(d) (state or federal agency’s failure to act on a permit considered to be inconsistent with Federal law); </w:t>
      </w:r>
      <w:r w:rsidRPr="00BE7CA5">
        <w:rPr>
          <w:rFonts w:eastAsia="Times New Roman"/>
          <w:i/>
          <w:szCs w:val="26"/>
        </w:rPr>
        <w:t>see also</w:t>
      </w:r>
      <w:r w:rsidRPr="00BE7CA5">
        <w:rPr>
          <w:rFonts w:eastAsia="Times New Roman"/>
          <w:szCs w:val="26"/>
        </w:rPr>
        <w:t xml:space="preserve"> </w:t>
      </w:r>
      <w:r w:rsidRPr="00BE7CA5">
        <w:rPr>
          <w:rFonts w:eastAsia="Times New Roman"/>
          <w:i/>
          <w:szCs w:val="26"/>
        </w:rPr>
        <w:t>Schneidewind v. ANR Pipeline Co</w:t>
      </w:r>
      <w:r w:rsidRPr="00BE7CA5">
        <w:rPr>
          <w:rFonts w:eastAsia="Times New Roman"/>
          <w:szCs w:val="26"/>
        </w:rPr>
        <w:t xml:space="preserve">., 485 U.S. 293, 310 (1988) (state regulation that interferes with FERC’s regulatory authority over the transportation of natural gas is preempted); </w:t>
      </w:r>
      <w:r w:rsidRPr="00BE7CA5">
        <w:rPr>
          <w:rFonts w:eastAsia="Times New Roman"/>
          <w:i/>
          <w:szCs w:val="26"/>
        </w:rPr>
        <w:t xml:space="preserve">Dominion Transmission, Inc. v. Summers, </w:t>
      </w:r>
      <w:r w:rsidRPr="00BE7CA5">
        <w:rPr>
          <w:rFonts w:eastAsia="Times New Roman"/>
          <w:szCs w:val="26"/>
        </w:rPr>
        <w:t>723 F.3d 238, 245 (D.C. Cir. 2013) (noting that state and local regulation is preempted by the NGA to the extent it conflicts with federal regulation, or would delay the construction and operation of facilities approved by the Commission).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E4124" w14:textId="77777777" w:rsidR="00653D8D" w:rsidRDefault="00653D8D" w:rsidP="00407EE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- 1 -</w:t>
    </w:r>
    <w:r>
      <w:rPr>
        <w:rStyle w:val="PageNumber"/>
      </w:rPr>
      <w:fldChar w:fldCharType="end"/>
    </w:r>
  </w:p>
  <w:p w14:paraId="5C75AD29" w14:textId="77777777" w:rsidR="00653D8D" w:rsidRDefault="00653D8D" w:rsidP="00407EE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D9B9C" w14:textId="6381C6D7" w:rsidR="00653D8D" w:rsidRDefault="002D1C68" w:rsidP="002D1C68">
    <w:pPr>
      <w:pStyle w:val="Header"/>
      <w:tabs>
        <w:tab w:val="clear" w:pos="4680"/>
      </w:tabs>
      <w:spacing w:after="240"/>
    </w:pPr>
    <w:r>
      <w:t>Docket No. CP25-60-000</w:t>
    </w:r>
    <w:r>
      <w:tab/>
    </w:r>
    <w:r>
      <w:fldChar w:fldCharType="begin"/>
    </w:r>
    <w:r>
      <w:instrText xml:space="preserve"> PAGE  \* MERGEFORMAT </w:instrText>
    </w:r>
    <w:r>
      <w:fldChar w:fldCharType="separate"/>
    </w:r>
    <w:r>
      <w:rPr>
        <w:noProof/>
      </w:rPr>
      <w:t>- 1 -</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B704C" w14:textId="77777777" w:rsidR="00653D8D" w:rsidRDefault="00653D8D" w:rsidP="00EC3F55">
    <w:pPr>
      <w:pStyle w:val="Header"/>
      <w:tabs>
        <w:tab w:val="clear" w:pos="46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2926A2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D9AAD9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8D2401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F2AD59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BCEEC3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124AF3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0D0A81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B72DF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0E1DC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83861D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AF6CD3"/>
    <w:multiLevelType w:val="hybridMultilevel"/>
    <w:tmpl w:val="64A0B718"/>
    <w:lvl w:ilvl="0" w:tplc="87ECED62">
      <w:start w:val="7"/>
      <w:numFmt w:val="bullet"/>
      <w:lvlText w:val="-"/>
      <w:lvlJc w:val="left"/>
      <w:pPr>
        <w:ind w:left="9330" w:hanging="360"/>
      </w:pPr>
      <w:rPr>
        <w:rFonts w:ascii="Times New Roman" w:eastAsiaTheme="minorHAnsi" w:hAnsi="Times New Roman" w:cs="Times New Roman" w:hint="default"/>
      </w:rPr>
    </w:lvl>
    <w:lvl w:ilvl="1" w:tplc="04090003" w:tentative="1">
      <w:start w:val="1"/>
      <w:numFmt w:val="bullet"/>
      <w:lvlText w:val="o"/>
      <w:lvlJc w:val="left"/>
      <w:pPr>
        <w:ind w:left="10050" w:hanging="360"/>
      </w:pPr>
      <w:rPr>
        <w:rFonts w:ascii="Courier New" w:hAnsi="Courier New" w:cs="Courier New" w:hint="default"/>
      </w:rPr>
    </w:lvl>
    <w:lvl w:ilvl="2" w:tplc="04090005" w:tentative="1">
      <w:start w:val="1"/>
      <w:numFmt w:val="bullet"/>
      <w:lvlText w:val=""/>
      <w:lvlJc w:val="left"/>
      <w:pPr>
        <w:ind w:left="10770" w:hanging="360"/>
      </w:pPr>
      <w:rPr>
        <w:rFonts w:ascii="Wingdings" w:hAnsi="Wingdings" w:hint="default"/>
      </w:rPr>
    </w:lvl>
    <w:lvl w:ilvl="3" w:tplc="04090001" w:tentative="1">
      <w:start w:val="1"/>
      <w:numFmt w:val="bullet"/>
      <w:lvlText w:val=""/>
      <w:lvlJc w:val="left"/>
      <w:pPr>
        <w:ind w:left="11490" w:hanging="360"/>
      </w:pPr>
      <w:rPr>
        <w:rFonts w:ascii="Symbol" w:hAnsi="Symbol" w:hint="default"/>
      </w:rPr>
    </w:lvl>
    <w:lvl w:ilvl="4" w:tplc="04090003" w:tentative="1">
      <w:start w:val="1"/>
      <w:numFmt w:val="bullet"/>
      <w:lvlText w:val="o"/>
      <w:lvlJc w:val="left"/>
      <w:pPr>
        <w:ind w:left="12210" w:hanging="360"/>
      </w:pPr>
      <w:rPr>
        <w:rFonts w:ascii="Courier New" w:hAnsi="Courier New" w:cs="Courier New" w:hint="default"/>
      </w:rPr>
    </w:lvl>
    <w:lvl w:ilvl="5" w:tplc="04090005" w:tentative="1">
      <w:start w:val="1"/>
      <w:numFmt w:val="bullet"/>
      <w:lvlText w:val=""/>
      <w:lvlJc w:val="left"/>
      <w:pPr>
        <w:ind w:left="12930" w:hanging="360"/>
      </w:pPr>
      <w:rPr>
        <w:rFonts w:ascii="Wingdings" w:hAnsi="Wingdings" w:hint="default"/>
      </w:rPr>
    </w:lvl>
    <w:lvl w:ilvl="6" w:tplc="04090001" w:tentative="1">
      <w:start w:val="1"/>
      <w:numFmt w:val="bullet"/>
      <w:lvlText w:val=""/>
      <w:lvlJc w:val="left"/>
      <w:pPr>
        <w:ind w:left="13650" w:hanging="360"/>
      </w:pPr>
      <w:rPr>
        <w:rFonts w:ascii="Symbol" w:hAnsi="Symbol" w:hint="default"/>
      </w:rPr>
    </w:lvl>
    <w:lvl w:ilvl="7" w:tplc="04090003" w:tentative="1">
      <w:start w:val="1"/>
      <w:numFmt w:val="bullet"/>
      <w:lvlText w:val="o"/>
      <w:lvlJc w:val="left"/>
      <w:pPr>
        <w:ind w:left="14370" w:hanging="360"/>
      </w:pPr>
      <w:rPr>
        <w:rFonts w:ascii="Courier New" w:hAnsi="Courier New" w:cs="Courier New" w:hint="default"/>
      </w:rPr>
    </w:lvl>
    <w:lvl w:ilvl="8" w:tplc="04090005" w:tentative="1">
      <w:start w:val="1"/>
      <w:numFmt w:val="bullet"/>
      <w:lvlText w:val=""/>
      <w:lvlJc w:val="left"/>
      <w:pPr>
        <w:ind w:left="15090" w:hanging="360"/>
      </w:pPr>
      <w:rPr>
        <w:rFonts w:ascii="Wingdings" w:hAnsi="Wingdings" w:hint="default"/>
      </w:rPr>
    </w:lvl>
  </w:abstractNum>
  <w:abstractNum w:abstractNumId="11" w15:restartNumberingAfterBreak="0">
    <w:nsid w:val="0AD240F1"/>
    <w:multiLevelType w:val="hybridMultilevel"/>
    <w:tmpl w:val="CFBE3900"/>
    <w:lvl w:ilvl="0" w:tplc="1FFE9ADE">
      <w:start w:val="7"/>
      <w:numFmt w:val="bullet"/>
      <w:lvlText w:val="-"/>
      <w:lvlJc w:val="left"/>
      <w:pPr>
        <w:ind w:left="9480" w:hanging="360"/>
      </w:pPr>
      <w:rPr>
        <w:rFonts w:ascii="Times New Roman" w:eastAsiaTheme="minorHAnsi" w:hAnsi="Times New Roman" w:cs="Times New Roman" w:hint="default"/>
      </w:rPr>
    </w:lvl>
    <w:lvl w:ilvl="1" w:tplc="04090003" w:tentative="1">
      <w:start w:val="1"/>
      <w:numFmt w:val="bullet"/>
      <w:lvlText w:val="o"/>
      <w:lvlJc w:val="left"/>
      <w:pPr>
        <w:ind w:left="10200" w:hanging="360"/>
      </w:pPr>
      <w:rPr>
        <w:rFonts w:ascii="Courier New" w:hAnsi="Courier New" w:cs="Courier New" w:hint="default"/>
      </w:rPr>
    </w:lvl>
    <w:lvl w:ilvl="2" w:tplc="04090005" w:tentative="1">
      <w:start w:val="1"/>
      <w:numFmt w:val="bullet"/>
      <w:lvlText w:val=""/>
      <w:lvlJc w:val="left"/>
      <w:pPr>
        <w:ind w:left="10920" w:hanging="360"/>
      </w:pPr>
      <w:rPr>
        <w:rFonts w:ascii="Wingdings" w:hAnsi="Wingdings" w:hint="default"/>
      </w:rPr>
    </w:lvl>
    <w:lvl w:ilvl="3" w:tplc="04090001" w:tentative="1">
      <w:start w:val="1"/>
      <w:numFmt w:val="bullet"/>
      <w:lvlText w:val=""/>
      <w:lvlJc w:val="left"/>
      <w:pPr>
        <w:ind w:left="11640" w:hanging="360"/>
      </w:pPr>
      <w:rPr>
        <w:rFonts w:ascii="Symbol" w:hAnsi="Symbol" w:hint="default"/>
      </w:rPr>
    </w:lvl>
    <w:lvl w:ilvl="4" w:tplc="04090003" w:tentative="1">
      <w:start w:val="1"/>
      <w:numFmt w:val="bullet"/>
      <w:lvlText w:val="o"/>
      <w:lvlJc w:val="left"/>
      <w:pPr>
        <w:ind w:left="12360" w:hanging="360"/>
      </w:pPr>
      <w:rPr>
        <w:rFonts w:ascii="Courier New" w:hAnsi="Courier New" w:cs="Courier New" w:hint="default"/>
      </w:rPr>
    </w:lvl>
    <w:lvl w:ilvl="5" w:tplc="04090005" w:tentative="1">
      <w:start w:val="1"/>
      <w:numFmt w:val="bullet"/>
      <w:lvlText w:val=""/>
      <w:lvlJc w:val="left"/>
      <w:pPr>
        <w:ind w:left="13080" w:hanging="360"/>
      </w:pPr>
      <w:rPr>
        <w:rFonts w:ascii="Wingdings" w:hAnsi="Wingdings" w:hint="default"/>
      </w:rPr>
    </w:lvl>
    <w:lvl w:ilvl="6" w:tplc="04090001" w:tentative="1">
      <w:start w:val="1"/>
      <w:numFmt w:val="bullet"/>
      <w:lvlText w:val=""/>
      <w:lvlJc w:val="left"/>
      <w:pPr>
        <w:ind w:left="13800" w:hanging="360"/>
      </w:pPr>
      <w:rPr>
        <w:rFonts w:ascii="Symbol" w:hAnsi="Symbol" w:hint="default"/>
      </w:rPr>
    </w:lvl>
    <w:lvl w:ilvl="7" w:tplc="04090003" w:tentative="1">
      <w:start w:val="1"/>
      <w:numFmt w:val="bullet"/>
      <w:lvlText w:val="o"/>
      <w:lvlJc w:val="left"/>
      <w:pPr>
        <w:ind w:left="14520" w:hanging="360"/>
      </w:pPr>
      <w:rPr>
        <w:rFonts w:ascii="Courier New" w:hAnsi="Courier New" w:cs="Courier New" w:hint="default"/>
      </w:rPr>
    </w:lvl>
    <w:lvl w:ilvl="8" w:tplc="04090005" w:tentative="1">
      <w:start w:val="1"/>
      <w:numFmt w:val="bullet"/>
      <w:lvlText w:val=""/>
      <w:lvlJc w:val="left"/>
      <w:pPr>
        <w:ind w:left="15240" w:hanging="360"/>
      </w:pPr>
      <w:rPr>
        <w:rFonts w:ascii="Wingdings" w:hAnsi="Wingdings" w:hint="default"/>
      </w:rPr>
    </w:lvl>
  </w:abstractNum>
  <w:abstractNum w:abstractNumId="12" w15:restartNumberingAfterBreak="0">
    <w:nsid w:val="13B11278"/>
    <w:multiLevelType w:val="hybridMultilevel"/>
    <w:tmpl w:val="8158AD8E"/>
    <w:lvl w:ilvl="0" w:tplc="B478E46C">
      <w:start w:val="7"/>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812DDA"/>
    <w:multiLevelType w:val="hybridMultilevel"/>
    <w:tmpl w:val="0A66321E"/>
    <w:lvl w:ilvl="0" w:tplc="7374C602">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E416194"/>
    <w:multiLevelType w:val="multilevel"/>
    <w:tmpl w:val="5F3ACA38"/>
    <w:lvl w:ilvl="0">
      <w:start w:val="1"/>
      <w:numFmt w:val="upperRoman"/>
      <w:lvlRestart w:val="0"/>
      <w:lvlText w:val="%1."/>
      <w:lvlJc w:val="left"/>
      <w:pPr>
        <w:tabs>
          <w:tab w:val="num" w:pos="720"/>
        </w:tabs>
        <w:ind w:left="720" w:hanging="720"/>
      </w:pPr>
    </w:lvl>
    <w:lvl w:ilvl="1">
      <w:start w:val="1"/>
      <w:numFmt w:val="upperLetter"/>
      <w:lvlText w:val="%2."/>
      <w:lvlJc w:val="left"/>
      <w:pPr>
        <w:tabs>
          <w:tab w:val="num" w:pos="1080"/>
        </w:tabs>
        <w:ind w:left="1080" w:hanging="720"/>
      </w:pPr>
    </w:lvl>
    <w:lvl w:ilvl="2">
      <w:start w:val="1"/>
      <w:numFmt w:val="decimal"/>
      <w:lvlText w:val="%3."/>
      <w:lvlJc w:val="left"/>
      <w:pPr>
        <w:tabs>
          <w:tab w:val="num" w:pos="1440"/>
        </w:tabs>
        <w:ind w:left="1440" w:hanging="720"/>
      </w:pPr>
    </w:lvl>
    <w:lvl w:ilvl="3">
      <w:start w:val="1"/>
      <w:numFmt w:val="lowerLetter"/>
      <w:lvlText w:val="%4."/>
      <w:lvlJc w:val="left"/>
      <w:pPr>
        <w:tabs>
          <w:tab w:val="num" w:pos="1800"/>
        </w:tabs>
        <w:ind w:left="1800" w:hanging="720"/>
      </w:pPr>
    </w:lvl>
    <w:lvl w:ilvl="4">
      <w:start w:val="1"/>
      <w:numFmt w:val="lowerRoman"/>
      <w:lvlText w:val="%5."/>
      <w:lvlJc w:val="left"/>
      <w:pPr>
        <w:tabs>
          <w:tab w:val="num" w:pos="2160"/>
        </w:tabs>
        <w:ind w:left="2160" w:hanging="720"/>
      </w:pPr>
    </w:lvl>
    <w:lvl w:ilvl="5">
      <w:start w:val="1"/>
      <w:numFmt w:val="lowerLetter"/>
      <w:lvlText w:val="(%6)"/>
      <w:lvlJc w:val="left"/>
      <w:pPr>
        <w:tabs>
          <w:tab w:val="num" w:pos="2520"/>
        </w:tabs>
        <w:ind w:left="2520" w:hanging="720"/>
      </w:pPr>
    </w:lvl>
    <w:lvl w:ilvl="6">
      <w:start w:val="1"/>
      <w:numFmt w:val="decimal"/>
      <w:lvlText w:val="(%7)"/>
      <w:lvlJc w:val="left"/>
      <w:pPr>
        <w:tabs>
          <w:tab w:val="num" w:pos="2880"/>
        </w:tabs>
        <w:ind w:left="2880" w:hanging="720"/>
      </w:pPr>
    </w:lvl>
    <w:lvl w:ilvl="7">
      <w:start w:val="1"/>
      <w:numFmt w:val="lowerRoman"/>
      <w:lvlText w:val="(%8)"/>
      <w:lvlJc w:val="left"/>
      <w:pPr>
        <w:tabs>
          <w:tab w:val="num" w:pos="3240"/>
        </w:tabs>
        <w:ind w:left="3240" w:hanging="720"/>
      </w:pPr>
    </w:lvl>
    <w:lvl w:ilvl="8">
      <w:start w:val="1"/>
      <w:numFmt w:val="decimalZero"/>
      <w:lvlText w:val="(%9)"/>
      <w:lvlJc w:val="left"/>
      <w:pPr>
        <w:tabs>
          <w:tab w:val="num" w:pos="3600"/>
        </w:tabs>
        <w:ind w:left="3600" w:hanging="720"/>
      </w:pPr>
    </w:lvl>
  </w:abstractNum>
  <w:abstractNum w:abstractNumId="15" w15:restartNumberingAfterBreak="0">
    <w:nsid w:val="1E5A2883"/>
    <w:multiLevelType w:val="hybridMultilevel"/>
    <w:tmpl w:val="543635AE"/>
    <w:lvl w:ilvl="0" w:tplc="54246274">
      <w:start w:val="7"/>
      <w:numFmt w:val="bullet"/>
      <w:lvlText w:val="-"/>
      <w:lvlJc w:val="left"/>
      <w:pPr>
        <w:ind w:left="9330" w:hanging="360"/>
      </w:pPr>
      <w:rPr>
        <w:rFonts w:ascii="Times New Roman" w:eastAsiaTheme="minorHAnsi" w:hAnsi="Times New Roman" w:cs="Times New Roman" w:hint="default"/>
      </w:rPr>
    </w:lvl>
    <w:lvl w:ilvl="1" w:tplc="04090003" w:tentative="1">
      <w:start w:val="1"/>
      <w:numFmt w:val="bullet"/>
      <w:lvlText w:val="o"/>
      <w:lvlJc w:val="left"/>
      <w:pPr>
        <w:ind w:left="10050" w:hanging="360"/>
      </w:pPr>
      <w:rPr>
        <w:rFonts w:ascii="Courier New" w:hAnsi="Courier New" w:cs="Courier New" w:hint="default"/>
      </w:rPr>
    </w:lvl>
    <w:lvl w:ilvl="2" w:tplc="04090005" w:tentative="1">
      <w:start w:val="1"/>
      <w:numFmt w:val="bullet"/>
      <w:lvlText w:val=""/>
      <w:lvlJc w:val="left"/>
      <w:pPr>
        <w:ind w:left="10770" w:hanging="360"/>
      </w:pPr>
      <w:rPr>
        <w:rFonts w:ascii="Wingdings" w:hAnsi="Wingdings" w:hint="default"/>
      </w:rPr>
    </w:lvl>
    <w:lvl w:ilvl="3" w:tplc="04090001" w:tentative="1">
      <w:start w:val="1"/>
      <w:numFmt w:val="bullet"/>
      <w:lvlText w:val=""/>
      <w:lvlJc w:val="left"/>
      <w:pPr>
        <w:ind w:left="11490" w:hanging="360"/>
      </w:pPr>
      <w:rPr>
        <w:rFonts w:ascii="Symbol" w:hAnsi="Symbol" w:hint="default"/>
      </w:rPr>
    </w:lvl>
    <w:lvl w:ilvl="4" w:tplc="04090003" w:tentative="1">
      <w:start w:val="1"/>
      <w:numFmt w:val="bullet"/>
      <w:lvlText w:val="o"/>
      <w:lvlJc w:val="left"/>
      <w:pPr>
        <w:ind w:left="12210" w:hanging="360"/>
      </w:pPr>
      <w:rPr>
        <w:rFonts w:ascii="Courier New" w:hAnsi="Courier New" w:cs="Courier New" w:hint="default"/>
      </w:rPr>
    </w:lvl>
    <w:lvl w:ilvl="5" w:tplc="04090005" w:tentative="1">
      <w:start w:val="1"/>
      <w:numFmt w:val="bullet"/>
      <w:lvlText w:val=""/>
      <w:lvlJc w:val="left"/>
      <w:pPr>
        <w:ind w:left="12930" w:hanging="360"/>
      </w:pPr>
      <w:rPr>
        <w:rFonts w:ascii="Wingdings" w:hAnsi="Wingdings" w:hint="default"/>
      </w:rPr>
    </w:lvl>
    <w:lvl w:ilvl="6" w:tplc="04090001" w:tentative="1">
      <w:start w:val="1"/>
      <w:numFmt w:val="bullet"/>
      <w:lvlText w:val=""/>
      <w:lvlJc w:val="left"/>
      <w:pPr>
        <w:ind w:left="13650" w:hanging="360"/>
      </w:pPr>
      <w:rPr>
        <w:rFonts w:ascii="Symbol" w:hAnsi="Symbol" w:hint="default"/>
      </w:rPr>
    </w:lvl>
    <w:lvl w:ilvl="7" w:tplc="04090003" w:tentative="1">
      <w:start w:val="1"/>
      <w:numFmt w:val="bullet"/>
      <w:lvlText w:val="o"/>
      <w:lvlJc w:val="left"/>
      <w:pPr>
        <w:ind w:left="14370" w:hanging="360"/>
      </w:pPr>
      <w:rPr>
        <w:rFonts w:ascii="Courier New" w:hAnsi="Courier New" w:cs="Courier New" w:hint="default"/>
      </w:rPr>
    </w:lvl>
    <w:lvl w:ilvl="8" w:tplc="04090005" w:tentative="1">
      <w:start w:val="1"/>
      <w:numFmt w:val="bullet"/>
      <w:lvlText w:val=""/>
      <w:lvlJc w:val="left"/>
      <w:pPr>
        <w:ind w:left="15090" w:hanging="360"/>
      </w:pPr>
      <w:rPr>
        <w:rFonts w:ascii="Wingdings" w:hAnsi="Wingdings" w:hint="default"/>
      </w:rPr>
    </w:lvl>
  </w:abstractNum>
  <w:abstractNum w:abstractNumId="16" w15:restartNumberingAfterBreak="0">
    <w:nsid w:val="20435DD9"/>
    <w:multiLevelType w:val="hybridMultilevel"/>
    <w:tmpl w:val="315CE9BA"/>
    <w:lvl w:ilvl="0" w:tplc="14FA38B8">
      <w:start w:val="1"/>
      <w:numFmt w:val="decimal"/>
      <w:lvlText w:val="%1)"/>
      <w:lvlJc w:val="left"/>
      <w:pPr>
        <w:ind w:left="1020" w:hanging="360"/>
      </w:pPr>
    </w:lvl>
    <w:lvl w:ilvl="1" w:tplc="44DC1480">
      <w:start w:val="1"/>
      <w:numFmt w:val="decimal"/>
      <w:lvlText w:val="%2)"/>
      <w:lvlJc w:val="left"/>
      <w:pPr>
        <w:ind w:left="1020" w:hanging="360"/>
      </w:pPr>
    </w:lvl>
    <w:lvl w:ilvl="2" w:tplc="CB4259C2">
      <w:start w:val="1"/>
      <w:numFmt w:val="decimal"/>
      <w:lvlText w:val="%3)"/>
      <w:lvlJc w:val="left"/>
      <w:pPr>
        <w:ind w:left="1020" w:hanging="360"/>
      </w:pPr>
    </w:lvl>
    <w:lvl w:ilvl="3" w:tplc="03729866">
      <w:start w:val="1"/>
      <w:numFmt w:val="decimal"/>
      <w:lvlText w:val="%4)"/>
      <w:lvlJc w:val="left"/>
      <w:pPr>
        <w:ind w:left="1020" w:hanging="360"/>
      </w:pPr>
    </w:lvl>
    <w:lvl w:ilvl="4" w:tplc="059EE6FC">
      <w:start w:val="1"/>
      <w:numFmt w:val="decimal"/>
      <w:lvlText w:val="%5)"/>
      <w:lvlJc w:val="left"/>
      <w:pPr>
        <w:ind w:left="1020" w:hanging="360"/>
      </w:pPr>
    </w:lvl>
    <w:lvl w:ilvl="5" w:tplc="D5FA4EAC">
      <w:start w:val="1"/>
      <w:numFmt w:val="decimal"/>
      <w:lvlText w:val="%6)"/>
      <w:lvlJc w:val="left"/>
      <w:pPr>
        <w:ind w:left="1020" w:hanging="360"/>
      </w:pPr>
    </w:lvl>
    <w:lvl w:ilvl="6" w:tplc="98F09D64">
      <w:start w:val="1"/>
      <w:numFmt w:val="decimal"/>
      <w:lvlText w:val="%7)"/>
      <w:lvlJc w:val="left"/>
      <w:pPr>
        <w:ind w:left="1020" w:hanging="360"/>
      </w:pPr>
    </w:lvl>
    <w:lvl w:ilvl="7" w:tplc="89227C5C">
      <w:start w:val="1"/>
      <w:numFmt w:val="decimal"/>
      <w:lvlText w:val="%8)"/>
      <w:lvlJc w:val="left"/>
      <w:pPr>
        <w:ind w:left="1020" w:hanging="360"/>
      </w:pPr>
    </w:lvl>
    <w:lvl w:ilvl="8" w:tplc="322647E6">
      <w:start w:val="1"/>
      <w:numFmt w:val="decimal"/>
      <w:lvlText w:val="%9)"/>
      <w:lvlJc w:val="left"/>
      <w:pPr>
        <w:ind w:left="1020" w:hanging="360"/>
      </w:pPr>
    </w:lvl>
  </w:abstractNum>
  <w:abstractNum w:abstractNumId="17" w15:restartNumberingAfterBreak="0">
    <w:nsid w:val="204D6583"/>
    <w:multiLevelType w:val="hybridMultilevel"/>
    <w:tmpl w:val="C1FC521E"/>
    <w:lvl w:ilvl="0" w:tplc="A6604CAE">
      <w:start w:val="1"/>
      <w:numFmt w:val="lowerLetter"/>
      <w:lvlText w:val="%1."/>
      <w:lvlJc w:val="left"/>
      <w:pPr>
        <w:ind w:left="1800" w:hanging="360"/>
      </w:pPr>
      <w:rPr>
        <w:rFonts w:ascii="Times New Roman" w:eastAsiaTheme="minorHAnsi" w:hAnsi="Times New Roman" w:cs="Times New Roman"/>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8" w15:restartNumberingAfterBreak="0">
    <w:nsid w:val="240D3EB2"/>
    <w:multiLevelType w:val="multilevel"/>
    <w:tmpl w:val="FA86B1B6"/>
    <w:lvl w:ilvl="0">
      <w:start w:val="1"/>
      <w:numFmt w:val="upperRoman"/>
      <w:lvlRestart w:val="0"/>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lowerLetter"/>
      <w:lvlText w:val="%4."/>
      <w:lvlJc w:val="left"/>
      <w:pPr>
        <w:tabs>
          <w:tab w:val="num" w:pos="2880"/>
        </w:tabs>
        <w:ind w:left="2880" w:hanging="720"/>
      </w:pPr>
      <w:rPr>
        <w:rFonts w:hint="default"/>
      </w:rPr>
    </w:lvl>
    <w:lvl w:ilvl="4">
      <w:start w:val="1"/>
      <w:numFmt w:val="lowerRoman"/>
      <w:lvlText w:val="%5."/>
      <w:lvlJc w:val="left"/>
      <w:pPr>
        <w:tabs>
          <w:tab w:val="num" w:pos="3600"/>
        </w:tabs>
        <w:ind w:left="3600" w:hanging="720"/>
      </w:pPr>
      <w:rPr>
        <w:rFonts w:hint="default"/>
      </w:rPr>
    </w:lvl>
    <w:lvl w:ilvl="5">
      <w:start w:val="1"/>
      <w:numFmt w:val="lowerLetter"/>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Roman"/>
      <w:lvlText w:val="(%8)"/>
      <w:lvlJc w:val="left"/>
      <w:pPr>
        <w:tabs>
          <w:tab w:val="num" w:pos="5760"/>
        </w:tabs>
        <w:ind w:left="5760" w:hanging="720"/>
      </w:pPr>
      <w:rPr>
        <w:rFonts w:hint="default"/>
      </w:rPr>
    </w:lvl>
    <w:lvl w:ilvl="8">
      <w:start w:val="1"/>
      <w:numFmt w:val="decimalZero"/>
      <w:lvlText w:val="(%9)"/>
      <w:lvlJc w:val="left"/>
      <w:pPr>
        <w:tabs>
          <w:tab w:val="num" w:pos="6480"/>
        </w:tabs>
        <w:ind w:left="6480" w:hanging="720"/>
      </w:pPr>
      <w:rPr>
        <w:rFonts w:hint="default"/>
      </w:rPr>
    </w:lvl>
  </w:abstractNum>
  <w:abstractNum w:abstractNumId="19" w15:restartNumberingAfterBreak="0">
    <w:nsid w:val="298F148F"/>
    <w:multiLevelType w:val="hybridMultilevel"/>
    <w:tmpl w:val="C520D362"/>
    <w:lvl w:ilvl="0" w:tplc="15F6D60E">
      <w:start w:val="1"/>
      <w:numFmt w:val="decimal"/>
      <w:lvlText w:val="%1)"/>
      <w:lvlJc w:val="left"/>
      <w:pPr>
        <w:ind w:left="1020" w:hanging="360"/>
      </w:pPr>
    </w:lvl>
    <w:lvl w:ilvl="1" w:tplc="912EF50C">
      <w:start w:val="1"/>
      <w:numFmt w:val="decimal"/>
      <w:lvlText w:val="%2)"/>
      <w:lvlJc w:val="left"/>
      <w:pPr>
        <w:ind w:left="1020" w:hanging="360"/>
      </w:pPr>
    </w:lvl>
    <w:lvl w:ilvl="2" w:tplc="78D4DCBC">
      <w:start w:val="1"/>
      <w:numFmt w:val="decimal"/>
      <w:lvlText w:val="%3)"/>
      <w:lvlJc w:val="left"/>
      <w:pPr>
        <w:ind w:left="1020" w:hanging="360"/>
      </w:pPr>
    </w:lvl>
    <w:lvl w:ilvl="3" w:tplc="BDFE3FD2">
      <w:start w:val="1"/>
      <w:numFmt w:val="decimal"/>
      <w:lvlText w:val="%4)"/>
      <w:lvlJc w:val="left"/>
      <w:pPr>
        <w:ind w:left="1020" w:hanging="360"/>
      </w:pPr>
    </w:lvl>
    <w:lvl w:ilvl="4" w:tplc="A94C4B86">
      <w:start w:val="1"/>
      <w:numFmt w:val="decimal"/>
      <w:lvlText w:val="%5)"/>
      <w:lvlJc w:val="left"/>
      <w:pPr>
        <w:ind w:left="1020" w:hanging="360"/>
      </w:pPr>
    </w:lvl>
    <w:lvl w:ilvl="5" w:tplc="AD645DF6">
      <w:start w:val="1"/>
      <w:numFmt w:val="decimal"/>
      <w:lvlText w:val="%6)"/>
      <w:lvlJc w:val="left"/>
      <w:pPr>
        <w:ind w:left="1020" w:hanging="360"/>
      </w:pPr>
    </w:lvl>
    <w:lvl w:ilvl="6" w:tplc="06400F2E">
      <w:start w:val="1"/>
      <w:numFmt w:val="decimal"/>
      <w:lvlText w:val="%7)"/>
      <w:lvlJc w:val="left"/>
      <w:pPr>
        <w:ind w:left="1020" w:hanging="360"/>
      </w:pPr>
    </w:lvl>
    <w:lvl w:ilvl="7" w:tplc="9AC2AD4C">
      <w:start w:val="1"/>
      <w:numFmt w:val="decimal"/>
      <w:lvlText w:val="%8)"/>
      <w:lvlJc w:val="left"/>
      <w:pPr>
        <w:ind w:left="1020" w:hanging="360"/>
      </w:pPr>
    </w:lvl>
    <w:lvl w:ilvl="8" w:tplc="E786948C">
      <w:start w:val="1"/>
      <w:numFmt w:val="decimal"/>
      <w:lvlText w:val="%9)"/>
      <w:lvlJc w:val="left"/>
      <w:pPr>
        <w:ind w:left="1020" w:hanging="360"/>
      </w:pPr>
    </w:lvl>
  </w:abstractNum>
  <w:abstractNum w:abstractNumId="20" w15:restartNumberingAfterBreak="0">
    <w:nsid w:val="324700F1"/>
    <w:multiLevelType w:val="hybridMultilevel"/>
    <w:tmpl w:val="61E2812E"/>
    <w:lvl w:ilvl="0" w:tplc="749CE8FA">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BF35A2"/>
    <w:multiLevelType w:val="hybridMultilevel"/>
    <w:tmpl w:val="903277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9C695C"/>
    <w:multiLevelType w:val="hybridMultilevel"/>
    <w:tmpl w:val="6E86A15C"/>
    <w:lvl w:ilvl="0" w:tplc="CA162FF6">
      <w:start w:val="1"/>
      <w:numFmt w:val="decimal"/>
      <w:lvlText w:val="%1."/>
      <w:lvlJc w:val="left"/>
      <w:pPr>
        <w:ind w:left="1440" w:hanging="360"/>
      </w:pPr>
      <w:rPr>
        <w:b w:val="0"/>
        <w:bCs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25D3A81"/>
    <w:multiLevelType w:val="multilevel"/>
    <w:tmpl w:val="8B30321C"/>
    <w:lvl w:ilvl="0">
      <w:start w:val="1"/>
      <w:numFmt w:val="lowerLetter"/>
      <w:lvlText w:val="%1."/>
      <w:lvlJc w:val="left"/>
      <w:pPr>
        <w:ind w:left="1080" w:hanging="360"/>
      </w:pPr>
      <w:rPr>
        <w:rFonts w:ascii="Times New Roman" w:eastAsiaTheme="minorHAnsi" w:hAnsi="Times New Roman" w:cs="Times New Roman"/>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24" w15:restartNumberingAfterBreak="0">
    <w:nsid w:val="43CD52E0"/>
    <w:multiLevelType w:val="hybridMultilevel"/>
    <w:tmpl w:val="3BEE9564"/>
    <w:lvl w:ilvl="0" w:tplc="907441EA">
      <w:start w:val="1"/>
      <w:numFmt w:val="decimal"/>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46082C"/>
    <w:multiLevelType w:val="hybridMultilevel"/>
    <w:tmpl w:val="287213FA"/>
    <w:lvl w:ilvl="0" w:tplc="399A47A6">
      <w:start w:val="1"/>
      <w:numFmt w:val="upperLetter"/>
      <w:lvlText w:val="(%1)"/>
      <w:lvlJc w:val="left"/>
      <w:pPr>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375FD1"/>
    <w:multiLevelType w:val="hybridMultilevel"/>
    <w:tmpl w:val="3EA801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5F1082"/>
    <w:multiLevelType w:val="hybridMultilevel"/>
    <w:tmpl w:val="E89066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B6502FF"/>
    <w:multiLevelType w:val="multilevel"/>
    <w:tmpl w:val="42787ABA"/>
    <w:lvl w:ilvl="0">
      <w:start w:val="1"/>
      <w:numFmt w:val="upperRoman"/>
      <w:lvlRestart w:val="0"/>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1710"/>
        </w:tabs>
        <w:ind w:left="171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lowerRoman"/>
      <w:pStyle w:val="Heading8"/>
      <w:lvlText w:val="(%8)"/>
      <w:lvlJc w:val="left"/>
      <w:pPr>
        <w:tabs>
          <w:tab w:val="num" w:pos="5760"/>
        </w:tabs>
        <w:ind w:left="5760" w:hanging="720"/>
      </w:pPr>
    </w:lvl>
    <w:lvl w:ilvl="8">
      <w:start w:val="1"/>
      <w:numFmt w:val="decimalZero"/>
      <w:pStyle w:val="Heading9"/>
      <w:lvlText w:val="(%9)"/>
      <w:lvlJc w:val="left"/>
      <w:pPr>
        <w:tabs>
          <w:tab w:val="num" w:pos="6480"/>
        </w:tabs>
        <w:ind w:left="6480" w:hanging="720"/>
      </w:pPr>
    </w:lvl>
  </w:abstractNum>
  <w:abstractNum w:abstractNumId="29" w15:restartNumberingAfterBreak="0">
    <w:nsid w:val="66646187"/>
    <w:multiLevelType w:val="hybridMultilevel"/>
    <w:tmpl w:val="9DCC217A"/>
    <w:lvl w:ilvl="0" w:tplc="D43ED736">
      <w:start w:val="1"/>
      <w:numFmt w:val="bullet"/>
      <w:lvlText w:val=""/>
      <w:lvlJc w:val="left"/>
      <w:pPr>
        <w:tabs>
          <w:tab w:val="num" w:pos="360"/>
        </w:tabs>
        <w:ind w:left="720" w:hanging="360"/>
      </w:pPr>
      <w:rPr>
        <w:rFonts w:ascii="Symbol" w:hAnsi="Symbol" w:hint="default"/>
      </w:rPr>
    </w:lvl>
    <w:lvl w:ilvl="1" w:tplc="E760E52E" w:tentative="1">
      <w:start w:val="1"/>
      <w:numFmt w:val="bullet"/>
      <w:lvlText w:val="o"/>
      <w:lvlJc w:val="left"/>
      <w:pPr>
        <w:tabs>
          <w:tab w:val="num" w:pos="1440"/>
        </w:tabs>
        <w:ind w:left="1440" w:hanging="360"/>
      </w:pPr>
      <w:rPr>
        <w:rFonts w:ascii="Courier New" w:hAnsi="Courier New" w:cs="Courier New" w:hint="default"/>
      </w:rPr>
    </w:lvl>
    <w:lvl w:ilvl="2" w:tplc="A906EF2C" w:tentative="1">
      <w:start w:val="1"/>
      <w:numFmt w:val="bullet"/>
      <w:lvlText w:val=""/>
      <w:lvlJc w:val="left"/>
      <w:pPr>
        <w:tabs>
          <w:tab w:val="num" w:pos="2160"/>
        </w:tabs>
        <w:ind w:left="2160" w:hanging="360"/>
      </w:pPr>
      <w:rPr>
        <w:rFonts w:ascii="Wingdings" w:hAnsi="Wingdings" w:hint="default"/>
      </w:rPr>
    </w:lvl>
    <w:lvl w:ilvl="3" w:tplc="174C3630" w:tentative="1">
      <w:start w:val="1"/>
      <w:numFmt w:val="bullet"/>
      <w:lvlText w:val=""/>
      <w:lvlJc w:val="left"/>
      <w:pPr>
        <w:tabs>
          <w:tab w:val="num" w:pos="2880"/>
        </w:tabs>
        <w:ind w:left="2880" w:hanging="360"/>
      </w:pPr>
      <w:rPr>
        <w:rFonts w:ascii="Symbol" w:hAnsi="Symbol" w:hint="default"/>
      </w:rPr>
    </w:lvl>
    <w:lvl w:ilvl="4" w:tplc="2A58DF28" w:tentative="1">
      <w:start w:val="1"/>
      <w:numFmt w:val="bullet"/>
      <w:lvlText w:val="o"/>
      <w:lvlJc w:val="left"/>
      <w:pPr>
        <w:tabs>
          <w:tab w:val="num" w:pos="3600"/>
        </w:tabs>
        <w:ind w:left="3600" w:hanging="360"/>
      </w:pPr>
      <w:rPr>
        <w:rFonts w:ascii="Courier New" w:hAnsi="Courier New" w:cs="Courier New" w:hint="default"/>
      </w:rPr>
    </w:lvl>
    <w:lvl w:ilvl="5" w:tplc="9E04ADBC" w:tentative="1">
      <w:start w:val="1"/>
      <w:numFmt w:val="bullet"/>
      <w:lvlText w:val=""/>
      <w:lvlJc w:val="left"/>
      <w:pPr>
        <w:tabs>
          <w:tab w:val="num" w:pos="4320"/>
        </w:tabs>
        <w:ind w:left="4320" w:hanging="360"/>
      </w:pPr>
      <w:rPr>
        <w:rFonts w:ascii="Wingdings" w:hAnsi="Wingdings" w:hint="default"/>
      </w:rPr>
    </w:lvl>
    <w:lvl w:ilvl="6" w:tplc="B7582168" w:tentative="1">
      <w:start w:val="1"/>
      <w:numFmt w:val="bullet"/>
      <w:lvlText w:val=""/>
      <w:lvlJc w:val="left"/>
      <w:pPr>
        <w:tabs>
          <w:tab w:val="num" w:pos="5040"/>
        </w:tabs>
        <w:ind w:left="5040" w:hanging="360"/>
      </w:pPr>
      <w:rPr>
        <w:rFonts w:ascii="Symbol" w:hAnsi="Symbol" w:hint="default"/>
      </w:rPr>
    </w:lvl>
    <w:lvl w:ilvl="7" w:tplc="0C00A7B2" w:tentative="1">
      <w:start w:val="1"/>
      <w:numFmt w:val="bullet"/>
      <w:lvlText w:val="o"/>
      <w:lvlJc w:val="left"/>
      <w:pPr>
        <w:tabs>
          <w:tab w:val="num" w:pos="5760"/>
        </w:tabs>
        <w:ind w:left="5760" w:hanging="360"/>
      </w:pPr>
      <w:rPr>
        <w:rFonts w:ascii="Courier New" w:hAnsi="Courier New" w:cs="Courier New" w:hint="default"/>
      </w:rPr>
    </w:lvl>
    <w:lvl w:ilvl="8" w:tplc="FF02B8AE"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07A48D3"/>
    <w:multiLevelType w:val="multilevel"/>
    <w:tmpl w:val="D4FA253C"/>
    <w:lvl w:ilvl="0">
      <w:start w:val="1"/>
      <w:numFmt w:val="upperRoman"/>
      <w:lvlRestart w:val="0"/>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Roman"/>
      <w:lvlText w:val="(%8)"/>
      <w:lvlJc w:val="left"/>
      <w:pPr>
        <w:tabs>
          <w:tab w:val="num" w:pos="5760"/>
        </w:tabs>
        <w:ind w:left="5760" w:hanging="720"/>
      </w:pPr>
    </w:lvl>
    <w:lvl w:ilvl="8">
      <w:start w:val="1"/>
      <w:numFmt w:val="decimalZero"/>
      <w:lvlText w:val="(%9)"/>
      <w:lvlJc w:val="left"/>
      <w:pPr>
        <w:tabs>
          <w:tab w:val="num" w:pos="6480"/>
        </w:tabs>
        <w:ind w:left="6480" w:hanging="720"/>
      </w:pPr>
    </w:lvl>
  </w:abstractNum>
  <w:abstractNum w:abstractNumId="31" w15:restartNumberingAfterBreak="0">
    <w:nsid w:val="7D3B09D3"/>
    <w:multiLevelType w:val="hybridMultilevel"/>
    <w:tmpl w:val="271CCE16"/>
    <w:lvl w:ilvl="0" w:tplc="A886A3F8">
      <w:start w:val="1"/>
      <w:numFmt w:val="decimal"/>
      <w:pStyle w:val="FERCparanumber"/>
      <w:lvlText w:val="%1."/>
      <w:lvlJc w:val="left"/>
      <w:pPr>
        <w:tabs>
          <w:tab w:val="num" w:pos="720"/>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E4E4DD3"/>
    <w:multiLevelType w:val="hybridMultilevel"/>
    <w:tmpl w:val="ED2073C2"/>
    <w:lvl w:ilvl="0" w:tplc="D4323D40">
      <w:start w:val="1"/>
      <w:numFmt w:val="decimal"/>
      <w:pStyle w:val="Non-TOCStyle"/>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31080175">
    <w:abstractNumId w:val="9"/>
  </w:num>
  <w:num w:numId="2" w16cid:durableId="436825673">
    <w:abstractNumId w:val="7"/>
  </w:num>
  <w:num w:numId="3" w16cid:durableId="2023042739">
    <w:abstractNumId w:val="6"/>
  </w:num>
  <w:num w:numId="4" w16cid:durableId="1507210208">
    <w:abstractNumId w:val="5"/>
  </w:num>
  <w:num w:numId="5" w16cid:durableId="255291719">
    <w:abstractNumId w:val="4"/>
  </w:num>
  <w:num w:numId="6" w16cid:durableId="124351206">
    <w:abstractNumId w:val="8"/>
  </w:num>
  <w:num w:numId="7" w16cid:durableId="1778678035">
    <w:abstractNumId w:val="3"/>
  </w:num>
  <w:num w:numId="8" w16cid:durableId="1575512540">
    <w:abstractNumId w:val="2"/>
  </w:num>
  <w:num w:numId="9" w16cid:durableId="1142500387">
    <w:abstractNumId w:val="1"/>
  </w:num>
  <w:num w:numId="10" w16cid:durableId="1312561718">
    <w:abstractNumId w:val="0"/>
  </w:num>
  <w:num w:numId="11" w16cid:durableId="812917180">
    <w:abstractNumId w:val="31"/>
  </w:num>
  <w:num w:numId="12" w16cid:durableId="52506773">
    <w:abstractNumId w:val="29"/>
  </w:num>
  <w:num w:numId="13" w16cid:durableId="859006164">
    <w:abstractNumId w:val="14"/>
  </w:num>
  <w:num w:numId="14" w16cid:durableId="311065281">
    <w:abstractNumId w:val="30"/>
  </w:num>
  <w:num w:numId="15" w16cid:durableId="1146164863">
    <w:abstractNumId w:val="28"/>
  </w:num>
  <w:num w:numId="16" w16cid:durableId="107139038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05519094">
    <w:abstractNumId w:val="11"/>
  </w:num>
  <w:num w:numId="18" w16cid:durableId="1754618900">
    <w:abstractNumId w:val="10"/>
  </w:num>
  <w:num w:numId="19" w16cid:durableId="1358699890">
    <w:abstractNumId w:val="15"/>
  </w:num>
  <w:num w:numId="20" w16cid:durableId="1399862505">
    <w:abstractNumId w:val="12"/>
  </w:num>
  <w:num w:numId="21" w16cid:durableId="984897000">
    <w:abstractNumId w:val="32"/>
  </w:num>
  <w:num w:numId="22" w16cid:durableId="46496330">
    <w:abstractNumId w:val="21"/>
  </w:num>
  <w:num w:numId="23" w16cid:durableId="452022412">
    <w:abstractNumId w:val="25"/>
  </w:num>
  <w:num w:numId="24" w16cid:durableId="282273531">
    <w:abstractNumId w:val="27"/>
  </w:num>
  <w:num w:numId="25" w16cid:durableId="1425539781">
    <w:abstractNumId w:val="24"/>
  </w:num>
  <w:num w:numId="26" w16cid:durableId="1543666147">
    <w:abstractNumId w:val="20"/>
  </w:num>
  <w:num w:numId="27" w16cid:durableId="2089841097">
    <w:abstractNumId w:val="13"/>
  </w:num>
  <w:num w:numId="28" w16cid:durableId="71899408">
    <w:abstractNumId w:val="18"/>
  </w:num>
  <w:num w:numId="29" w16cid:durableId="614336767">
    <w:abstractNumId w:val="17"/>
  </w:num>
  <w:num w:numId="30" w16cid:durableId="1543977905">
    <w:abstractNumId w:val="23"/>
  </w:num>
  <w:num w:numId="31" w16cid:durableId="1775980300">
    <w:abstractNumId w:val="22"/>
  </w:num>
  <w:num w:numId="32" w16cid:durableId="1544559395">
    <w:abstractNumId w:val="16"/>
  </w:num>
  <w:num w:numId="33" w16cid:durableId="646859464">
    <w:abstractNumId w:val="19"/>
  </w:num>
  <w:num w:numId="34" w16cid:durableId="13501862">
    <w:abstractNumId w:val="26"/>
  </w:num>
  <w:num w:numId="35" w16cid:durableId="4006296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C68"/>
    <w:rsid w:val="00000313"/>
    <w:rsid w:val="00000B3B"/>
    <w:rsid w:val="00000B6B"/>
    <w:rsid w:val="00000D4F"/>
    <w:rsid w:val="00001596"/>
    <w:rsid w:val="000019D4"/>
    <w:rsid w:val="00002069"/>
    <w:rsid w:val="0000285F"/>
    <w:rsid w:val="00002B60"/>
    <w:rsid w:val="00003340"/>
    <w:rsid w:val="00003A7E"/>
    <w:rsid w:val="00004240"/>
    <w:rsid w:val="00005034"/>
    <w:rsid w:val="0000542F"/>
    <w:rsid w:val="00005954"/>
    <w:rsid w:val="00005FD7"/>
    <w:rsid w:val="000060CA"/>
    <w:rsid w:val="0000719C"/>
    <w:rsid w:val="0000731D"/>
    <w:rsid w:val="00007775"/>
    <w:rsid w:val="00007CEE"/>
    <w:rsid w:val="00010296"/>
    <w:rsid w:val="000106F3"/>
    <w:rsid w:val="00010AAF"/>
    <w:rsid w:val="00010CFC"/>
    <w:rsid w:val="00010CFF"/>
    <w:rsid w:val="00010F9C"/>
    <w:rsid w:val="00010FA6"/>
    <w:rsid w:val="0001134A"/>
    <w:rsid w:val="0001175C"/>
    <w:rsid w:val="0001185B"/>
    <w:rsid w:val="00011872"/>
    <w:rsid w:val="000118C8"/>
    <w:rsid w:val="00011B56"/>
    <w:rsid w:val="0001324D"/>
    <w:rsid w:val="0001334A"/>
    <w:rsid w:val="0001337E"/>
    <w:rsid w:val="00013672"/>
    <w:rsid w:val="00013DC3"/>
    <w:rsid w:val="00013E69"/>
    <w:rsid w:val="000143AA"/>
    <w:rsid w:val="00015040"/>
    <w:rsid w:val="00016BB9"/>
    <w:rsid w:val="0001741F"/>
    <w:rsid w:val="000176E4"/>
    <w:rsid w:val="0002042F"/>
    <w:rsid w:val="00020621"/>
    <w:rsid w:val="00020906"/>
    <w:rsid w:val="00020AC3"/>
    <w:rsid w:val="00021949"/>
    <w:rsid w:val="00021DE9"/>
    <w:rsid w:val="00022A33"/>
    <w:rsid w:val="0002355F"/>
    <w:rsid w:val="000237A0"/>
    <w:rsid w:val="000238FC"/>
    <w:rsid w:val="000248C4"/>
    <w:rsid w:val="0002516E"/>
    <w:rsid w:val="00026146"/>
    <w:rsid w:val="000261B3"/>
    <w:rsid w:val="000262E2"/>
    <w:rsid w:val="00026815"/>
    <w:rsid w:val="000271F8"/>
    <w:rsid w:val="00027494"/>
    <w:rsid w:val="00027982"/>
    <w:rsid w:val="00027B85"/>
    <w:rsid w:val="000301B1"/>
    <w:rsid w:val="000304B1"/>
    <w:rsid w:val="00030679"/>
    <w:rsid w:val="00031DF5"/>
    <w:rsid w:val="00031E8F"/>
    <w:rsid w:val="00032CEA"/>
    <w:rsid w:val="0003382F"/>
    <w:rsid w:val="000345D0"/>
    <w:rsid w:val="000350F7"/>
    <w:rsid w:val="000362DE"/>
    <w:rsid w:val="00036CDA"/>
    <w:rsid w:val="00037E88"/>
    <w:rsid w:val="00040D14"/>
    <w:rsid w:val="00040F8B"/>
    <w:rsid w:val="0004140E"/>
    <w:rsid w:val="000428C4"/>
    <w:rsid w:val="0004326B"/>
    <w:rsid w:val="0004364D"/>
    <w:rsid w:val="00043D0E"/>
    <w:rsid w:val="00044BD7"/>
    <w:rsid w:val="000451AC"/>
    <w:rsid w:val="000459F2"/>
    <w:rsid w:val="000461B2"/>
    <w:rsid w:val="0004624A"/>
    <w:rsid w:val="0004637C"/>
    <w:rsid w:val="00046553"/>
    <w:rsid w:val="00046B86"/>
    <w:rsid w:val="00046E33"/>
    <w:rsid w:val="00047580"/>
    <w:rsid w:val="0004776C"/>
    <w:rsid w:val="000479E3"/>
    <w:rsid w:val="000503FC"/>
    <w:rsid w:val="0005135D"/>
    <w:rsid w:val="00053ADD"/>
    <w:rsid w:val="00053C17"/>
    <w:rsid w:val="00053C1B"/>
    <w:rsid w:val="000545EA"/>
    <w:rsid w:val="00054AAF"/>
    <w:rsid w:val="000550DC"/>
    <w:rsid w:val="0005545B"/>
    <w:rsid w:val="000554FD"/>
    <w:rsid w:val="00055E67"/>
    <w:rsid w:val="00055F5F"/>
    <w:rsid w:val="000561CA"/>
    <w:rsid w:val="00056807"/>
    <w:rsid w:val="00056A97"/>
    <w:rsid w:val="00056D35"/>
    <w:rsid w:val="00057392"/>
    <w:rsid w:val="000601AE"/>
    <w:rsid w:val="000605EB"/>
    <w:rsid w:val="00060A49"/>
    <w:rsid w:val="0006117F"/>
    <w:rsid w:val="00061E76"/>
    <w:rsid w:val="00062732"/>
    <w:rsid w:val="00062DC9"/>
    <w:rsid w:val="00062F43"/>
    <w:rsid w:val="00063285"/>
    <w:rsid w:val="000635D0"/>
    <w:rsid w:val="00063CA9"/>
    <w:rsid w:val="0006406A"/>
    <w:rsid w:val="0006460C"/>
    <w:rsid w:val="0006584D"/>
    <w:rsid w:val="0006617C"/>
    <w:rsid w:val="0006623A"/>
    <w:rsid w:val="00066531"/>
    <w:rsid w:val="00066CAE"/>
    <w:rsid w:val="00066D1F"/>
    <w:rsid w:val="0006746F"/>
    <w:rsid w:val="00067BA0"/>
    <w:rsid w:val="000703AB"/>
    <w:rsid w:val="00070857"/>
    <w:rsid w:val="00070EE6"/>
    <w:rsid w:val="000711B7"/>
    <w:rsid w:val="00071569"/>
    <w:rsid w:val="00072DD3"/>
    <w:rsid w:val="000736A3"/>
    <w:rsid w:val="0007377C"/>
    <w:rsid w:val="0007522D"/>
    <w:rsid w:val="0007548F"/>
    <w:rsid w:val="0007636C"/>
    <w:rsid w:val="000768EE"/>
    <w:rsid w:val="00076C6C"/>
    <w:rsid w:val="00077BEB"/>
    <w:rsid w:val="00080B09"/>
    <w:rsid w:val="00081741"/>
    <w:rsid w:val="00081748"/>
    <w:rsid w:val="00082D17"/>
    <w:rsid w:val="00082FF0"/>
    <w:rsid w:val="00083140"/>
    <w:rsid w:val="00083801"/>
    <w:rsid w:val="0008396B"/>
    <w:rsid w:val="0008476C"/>
    <w:rsid w:val="0008478C"/>
    <w:rsid w:val="00084A31"/>
    <w:rsid w:val="00084E8D"/>
    <w:rsid w:val="00084FB4"/>
    <w:rsid w:val="000852E2"/>
    <w:rsid w:val="00085597"/>
    <w:rsid w:val="000855F6"/>
    <w:rsid w:val="000858E8"/>
    <w:rsid w:val="0008660E"/>
    <w:rsid w:val="000869DA"/>
    <w:rsid w:val="00086D98"/>
    <w:rsid w:val="00086F9B"/>
    <w:rsid w:val="0008778D"/>
    <w:rsid w:val="00087A50"/>
    <w:rsid w:val="00087E6F"/>
    <w:rsid w:val="00090092"/>
    <w:rsid w:val="00090137"/>
    <w:rsid w:val="00090161"/>
    <w:rsid w:val="00090553"/>
    <w:rsid w:val="000906B5"/>
    <w:rsid w:val="00090CBC"/>
    <w:rsid w:val="0009119E"/>
    <w:rsid w:val="0009138D"/>
    <w:rsid w:val="00091AFC"/>
    <w:rsid w:val="00091BBC"/>
    <w:rsid w:val="00092634"/>
    <w:rsid w:val="00092D89"/>
    <w:rsid w:val="00092FEA"/>
    <w:rsid w:val="0009391B"/>
    <w:rsid w:val="00093E1C"/>
    <w:rsid w:val="00094B01"/>
    <w:rsid w:val="00095810"/>
    <w:rsid w:val="000958A4"/>
    <w:rsid w:val="0009624E"/>
    <w:rsid w:val="0009697E"/>
    <w:rsid w:val="00096BCF"/>
    <w:rsid w:val="00097054"/>
    <w:rsid w:val="00097C05"/>
    <w:rsid w:val="000A059F"/>
    <w:rsid w:val="000A1199"/>
    <w:rsid w:val="000A16E4"/>
    <w:rsid w:val="000A232C"/>
    <w:rsid w:val="000A3410"/>
    <w:rsid w:val="000A3D2F"/>
    <w:rsid w:val="000A47DF"/>
    <w:rsid w:val="000A524C"/>
    <w:rsid w:val="000A5335"/>
    <w:rsid w:val="000A5782"/>
    <w:rsid w:val="000A59FD"/>
    <w:rsid w:val="000A5D91"/>
    <w:rsid w:val="000A5DA4"/>
    <w:rsid w:val="000A6126"/>
    <w:rsid w:val="000A667F"/>
    <w:rsid w:val="000A6835"/>
    <w:rsid w:val="000A6C08"/>
    <w:rsid w:val="000A720F"/>
    <w:rsid w:val="000A7424"/>
    <w:rsid w:val="000A75FD"/>
    <w:rsid w:val="000A76E8"/>
    <w:rsid w:val="000A7D47"/>
    <w:rsid w:val="000B0A67"/>
    <w:rsid w:val="000B118B"/>
    <w:rsid w:val="000B1554"/>
    <w:rsid w:val="000B1BD8"/>
    <w:rsid w:val="000B2158"/>
    <w:rsid w:val="000B25EE"/>
    <w:rsid w:val="000B2BB0"/>
    <w:rsid w:val="000B2CBD"/>
    <w:rsid w:val="000B39EF"/>
    <w:rsid w:val="000B3D4C"/>
    <w:rsid w:val="000B4124"/>
    <w:rsid w:val="000B4133"/>
    <w:rsid w:val="000B4439"/>
    <w:rsid w:val="000B4A35"/>
    <w:rsid w:val="000B5401"/>
    <w:rsid w:val="000B5DCF"/>
    <w:rsid w:val="000B6543"/>
    <w:rsid w:val="000B6EE1"/>
    <w:rsid w:val="000B7613"/>
    <w:rsid w:val="000B78FA"/>
    <w:rsid w:val="000B7E62"/>
    <w:rsid w:val="000C0253"/>
    <w:rsid w:val="000C0DDB"/>
    <w:rsid w:val="000C1142"/>
    <w:rsid w:val="000C121A"/>
    <w:rsid w:val="000C1FCA"/>
    <w:rsid w:val="000C2326"/>
    <w:rsid w:val="000C2FCF"/>
    <w:rsid w:val="000C3269"/>
    <w:rsid w:val="000C33A1"/>
    <w:rsid w:val="000C4129"/>
    <w:rsid w:val="000C4400"/>
    <w:rsid w:val="000C4A0B"/>
    <w:rsid w:val="000C59E1"/>
    <w:rsid w:val="000C65E8"/>
    <w:rsid w:val="000C6869"/>
    <w:rsid w:val="000C68D5"/>
    <w:rsid w:val="000C68E0"/>
    <w:rsid w:val="000C6ED9"/>
    <w:rsid w:val="000C727E"/>
    <w:rsid w:val="000C748A"/>
    <w:rsid w:val="000C7763"/>
    <w:rsid w:val="000C7785"/>
    <w:rsid w:val="000C7CF9"/>
    <w:rsid w:val="000D02D2"/>
    <w:rsid w:val="000D0619"/>
    <w:rsid w:val="000D07A0"/>
    <w:rsid w:val="000D0EE6"/>
    <w:rsid w:val="000D1380"/>
    <w:rsid w:val="000D17CD"/>
    <w:rsid w:val="000D1D4B"/>
    <w:rsid w:val="000D1FB6"/>
    <w:rsid w:val="000D2B10"/>
    <w:rsid w:val="000D32D4"/>
    <w:rsid w:val="000D3924"/>
    <w:rsid w:val="000D3BC0"/>
    <w:rsid w:val="000D3C93"/>
    <w:rsid w:val="000D4263"/>
    <w:rsid w:val="000D4A42"/>
    <w:rsid w:val="000D4C20"/>
    <w:rsid w:val="000D4F57"/>
    <w:rsid w:val="000D55B2"/>
    <w:rsid w:val="000D5F57"/>
    <w:rsid w:val="000D638B"/>
    <w:rsid w:val="000D68E9"/>
    <w:rsid w:val="000D6BD4"/>
    <w:rsid w:val="000D6D4A"/>
    <w:rsid w:val="000D6E79"/>
    <w:rsid w:val="000D739B"/>
    <w:rsid w:val="000D75CE"/>
    <w:rsid w:val="000D7DD4"/>
    <w:rsid w:val="000D7E4E"/>
    <w:rsid w:val="000D7E96"/>
    <w:rsid w:val="000D7F5F"/>
    <w:rsid w:val="000E014C"/>
    <w:rsid w:val="000E0313"/>
    <w:rsid w:val="000E065C"/>
    <w:rsid w:val="000E078E"/>
    <w:rsid w:val="000E0857"/>
    <w:rsid w:val="000E0D0B"/>
    <w:rsid w:val="000E0F5B"/>
    <w:rsid w:val="000E0FB3"/>
    <w:rsid w:val="000E231C"/>
    <w:rsid w:val="000E25A1"/>
    <w:rsid w:val="000E2BFA"/>
    <w:rsid w:val="000E397D"/>
    <w:rsid w:val="000E42CD"/>
    <w:rsid w:val="000E42DB"/>
    <w:rsid w:val="000E4E4D"/>
    <w:rsid w:val="000E50A1"/>
    <w:rsid w:val="000E5CD1"/>
    <w:rsid w:val="000E6298"/>
    <w:rsid w:val="000E78C1"/>
    <w:rsid w:val="000E7AEE"/>
    <w:rsid w:val="000E7B96"/>
    <w:rsid w:val="000E7C26"/>
    <w:rsid w:val="000E7FBA"/>
    <w:rsid w:val="000F1F77"/>
    <w:rsid w:val="000F1FF3"/>
    <w:rsid w:val="000F2DC1"/>
    <w:rsid w:val="000F306B"/>
    <w:rsid w:val="000F30DE"/>
    <w:rsid w:val="000F372C"/>
    <w:rsid w:val="000F4C14"/>
    <w:rsid w:val="000F5799"/>
    <w:rsid w:val="000F603B"/>
    <w:rsid w:val="000F6403"/>
    <w:rsid w:val="000F6C7F"/>
    <w:rsid w:val="000F6C89"/>
    <w:rsid w:val="000F6D82"/>
    <w:rsid w:val="000F7110"/>
    <w:rsid w:val="000F79EB"/>
    <w:rsid w:val="0010012B"/>
    <w:rsid w:val="00100324"/>
    <w:rsid w:val="0010035C"/>
    <w:rsid w:val="0010095D"/>
    <w:rsid w:val="00100E1B"/>
    <w:rsid w:val="00101107"/>
    <w:rsid w:val="00101288"/>
    <w:rsid w:val="001023A5"/>
    <w:rsid w:val="00102736"/>
    <w:rsid w:val="0010290F"/>
    <w:rsid w:val="00102B51"/>
    <w:rsid w:val="00102FA6"/>
    <w:rsid w:val="001030FB"/>
    <w:rsid w:val="0010344D"/>
    <w:rsid w:val="00103DF1"/>
    <w:rsid w:val="0010436D"/>
    <w:rsid w:val="00104CAA"/>
    <w:rsid w:val="00104F76"/>
    <w:rsid w:val="001053E7"/>
    <w:rsid w:val="00105D58"/>
    <w:rsid w:val="00105E82"/>
    <w:rsid w:val="00105EA0"/>
    <w:rsid w:val="00106225"/>
    <w:rsid w:val="0010685B"/>
    <w:rsid w:val="00106E06"/>
    <w:rsid w:val="00106EF4"/>
    <w:rsid w:val="00107ABA"/>
    <w:rsid w:val="00107F90"/>
    <w:rsid w:val="00110355"/>
    <w:rsid w:val="001108CB"/>
    <w:rsid w:val="00110BA2"/>
    <w:rsid w:val="001112D0"/>
    <w:rsid w:val="00111F8E"/>
    <w:rsid w:val="0011245F"/>
    <w:rsid w:val="001138AF"/>
    <w:rsid w:val="001138BE"/>
    <w:rsid w:val="00113B90"/>
    <w:rsid w:val="00113C9B"/>
    <w:rsid w:val="00113F9E"/>
    <w:rsid w:val="00115FF4"/>
    <w:rsid w:val="00116BF9"/>
    <w:rsid w:val="00116C72"/>
    <w:rsid w:val="00116CF6"/>
    <w:rsid w:val="00116F42"/>
    <w:rsid w:val="00116FB3"/>
    <w:rsid w:val="00117E96"/>
    <w:rsid w:val="00120603"/>
    <w:rsid w:val="001208A2"/>
    <w:rsid w:val="001209E0"/>
    <w:rsid w:val="001209EF"/>
    <w:rsid w:val="00120D8E"/>
    <w:rsid w:val="00120EE8"/>
    <w:rsid w:val="00120F48"/>
    <w:rsid w:val="00121EE1"/>
    <w:rsid w:val="00122154"/>
    <w:rsid w:val="001229C4"/>
    <w:rsid w:val="001230C6"/>
    <w:rsid w:val="00123142"/>
    <w:rsid w:val="001236E4"/>
    <w:rsid w:val="00123E03"/>
    <w:rsid w:val="00123E3A"/>
    <w:rsid w:val="00123FB7"/>
    <w:rsid w:val="00123FC3"/>
    <w:rsid w:val="00124C66"/>
    <w:rsid w:val="0012613A"/>
    <w:rsid w:val="001262A6"/>
    <w:rsid w:val="001266AA"/>
    <w:rsid w:val="0012713F"/>
    <w:rsid w:val="00127154"/>
    <w:rsid w:val="00127478"/>
    <w:rsid w:val="00127485"/>
    <w:rsid w:val="001279B9"/>
    <w:rsid w:val="0013008E"/>
    <w:rsid w:val="001306D6"/>
    <w:rsid w:val="00130CCE"/>
    <w:rsid w:val="00130CF8"/>
    <w:rsid w:val="00130D1E"/>
    <w:rsid w:val="00130FA6"/>
    <w:rsid w:val="0013176B"/>
    <w:rsid w:val="0013188E"/>
    <w:rsid w:val="001318E2"/>
    <w:rsid w:val="00131DA3"/>
    <w:rsid w:val="00132069"/>
    <w:rsid w:val="00132585"/>
    <w:rsid w:val="00132882"/>
    <w:rsid w:val="00132943"/>
    <w:rsid w:val="00132AEC"/>
    <w:rsid w:val="00132D57"/>
    <w:rsid w:val="00133AF1"/>
    <w:rsid w:val="00134485"/>
    <w:rsid w:val="00134551"/>
    <w:rsid w:val="00134F3D"/>
    <w:rsid w:val="001350FA"/>
    <w:rsid w:val="00135A59"/>
    <w:rsid w:val="00136015"/>
    <w:rsid w:val="00136A97"/>
    <w:rsid w:val="001375D7"/>
    <w:rsid w:val="00140587"/>
    <w:rsid w:val="00140712"/>
    <w:rsid w:val="00140FCF"/>
    <w:rsid w:val="00141871"/>
    <w:rsid w:val="00141E22"/>
    <w:rsid w:val="001421AA"/>
    <w:rsid w:val="00142545"/>
    <w:rsid w:val="00142A5A"/>
    <w:rsid w:val="001432B5"/>
    <w:rsid w:val="00144086"/>
    <w:rsid w:val="00144C72"/>
    <w:rsid w:val="00144CF1"/>
    <w:rsid w:val="00145F98"/>
    <w:rsid w:val="00146074"/>
    <w:rsid w:val="00146A50"/>
    <w:rsid w:val="00146FE8"/>
    <w:rsid w:val="001474D2"/>
    <w:rsid w:val="00150822"/>
    <w:rsid w:val="00151086"/>
    <w:rsid w:val="001512A7"/>
    <w:rsid w:val="00151300"/>
    <w:rsid w:val="001520D4"/>
    <w:rsid w:val="0015232C"/>
    <w:rsid w:val="00152391"/>
    <w:rsid w:val="00153FB9"/>
    <w:rsid w:val="00154406"/>
    <w:rsid w:val="001549DE"/>
    <w:rsid w:val="00154C7A"/>
    <w:rsid w:val="00154CC6"/>
    <w:rsid w:val="00155247"/>
    <w:rsid w:val="0015571C"/>
    <w:rsid w:val="00155943"/>
    <w:rsid w:val="00156313"/>
    <w:rsid w:val="001571FC"/>
    <w:rsid w:val="00157466"/>
    <w:rsid w:val="00160B02"/>
    <w:rsid w:val="00160B70"/>
    <w:rsid w:val="00160C17"/>
    <w:rsid w:val="001629C2"/>
    <w:rsid w:val="00163732"/>
    <w:rsid w:val="00163759"/>
    <w:rsid w:val="001641EF"/>
    <w:rsid w:val="001645EA"/>
    <w:rsid w:val="001647BC"/>
    <w:rsid w:val="00164F15"/>
    <w:rsid w:val="0016531B"/>
    <w:rsid w:val="00166032"/>
    <w:rsid w:val="00166299"/>
    <w:rsid w:val="0016694B"/>
    <w:rsid w:val="00166B04"/>
    <w:rsid w:val="001674F2"/>
    <w:rsid w:val="0017055A"/>
    <w:rsid w:val="001709A4"/>
    <w:rsid w:val="001715BB"/>
    <w:rsid w:val="00171B1B"/>
    <w:rsid w:val="0017221E"/>
    <w:rsid w:val="001726AD"/>
    <w:rsid w:val="00172A2A"/>
    <w:rsid w:val="00173CB5"/>
    <w:rsid w:val="00173E44"/>
    <w:rsid w:val="00174968"/>
    <w:rsid w:val="00175769"/>
    <w:rsid w:val="00176368"/>
    <w:rsid w:val="0017696A"/>
    <w:rsid w:val="00176C0F"/>
    <w:rsid w:val="00176FAD"/>
    <w:rsid w:val="0017701D"/>
    <w:rsid w:val="0017712B"/>
    <w:rsid w:val="001773AA"/>
    <w:rsid w:val="0018038E"/>
    <w:rsid w:val="001804D4"/>
    <w:rsid w:val="001806BC"/>
    <w:rsid w:val="00180C7F"/>
    <w:rsid w:val="00180D41"/>
    <w:rsid w:val="001823C3"/>
    <w:rsid w:val="001823F4"/>
    <w:rsid w:val="001828EF"/>
    <w:rsid w:val="00183A53"/>
    <w:rsid w:val="00183E47"/>
    <w:rsid w:val="00184004"/>
    <w:rsid w:val="001846B1"/>
    <w:rsid w:val="00184882"/>
    <w:rsid w:val="00185A32"/>
    <w:rsid w:val="00186E3B"/>
    <w:rsid w:val="00186E93"/>
    <w:rsid w:val="00187011"/>
    <w:rsid w:val="0018758C"/>
    <w:rsid w:val="001877B4"/>
    <w:rsid w:val="00187920"/>
    <w:rsid w:val="00190733"/>
    <w:rsid w:val="0019115A"/>
    <w:rsid w:val="001912B9"/>
    <w:rsid w:val="00191617"/>
    <w:rsid w:val="00191976"/>
    <w:rsid w:val="00191C13"/>
    <w:rsid w:val="0019292E"/>
    <w:rsid w:val="00193109"/>
    <w:rsid w:val="00193FD6"/>
    <w:rsid w:val="00194AD3"/>
    <w:rsid w:val="00195173"/>
    <w:rsid w:val="001954F9"/>
    <w:rsid w:val="00195716"/>
    <w:rsid w:val="00195C32"/>
    <w:rsid w:val="00195F9C"/>
    <w:rsid w:val="001960DD"/>
    <w:rsid w:val="0019615A"/>
    <w:rsid w:val="001964EE"/>
    <w:rsid w:val="00196FD7"/>
    <w:rsid w:val="001977B4"/>
    <w:rsid w:val="001978A3"/>
    <w:rsid w:val="001A00C8"/>
    <w:rsid w:val="001A016D"/>
    <w:rsid w:val="001A144A"/>
    <w:rsid w:val="001A1641"/>
    <w:rsid w:val="001A1693"/>
    <w:rsid w:val="001A195C"/>
    <w:rsid w:val="001A2ADC"/>
    <w:rsid w:val="001A2AF1"/>
    <w:rsid w:val="001A2D2A"/>
    <w:rsid w:val="001A332C"/>
    <w:rsid w:val="001A33D6"/>
    <w:rsid w:val="001A3869"/>
    <w:rsid w:val="001A439A"/>
    <w:rsid w:val="001A4AE8"/>
    <w:rsid w:val="001A4BEE"/>
    <w:rsid w:val="001A4C43"/>
    <w:rsid w:val="001A563A"/>
    <w:rsid w:val="001A5C7F"/>
    <w:rsid w:val="001A5CF4"/>
    <w:rsid w:val="001A5E37"/>
    <w:rsid w:val="001A69A3"/>
    <w:rsid w:val="001A7098"/>
    <w:rsid w:val="001A7CC3"/>
    <w:rsid w:val="001A7FD4"/>
    <w:rsid w:val="001B010E"/>
    <w:rsid w:val="001B042B"/>
    <w:rsid w:val="001B0C16"/>
    <w:rsid w:val="001B1376"/>
    <w:rsid w:val="001B177F"/>
    <w:rsid w:val="001B19DC"/>
    <w:rsid w:val="001B1F19"/>
    <w:rsid w:val="001B1FE9"/>
    <w:rsid w:val="001B2571"/>
    <w:rsid w:val="001B2C6D"/>
    <w:rsid w:val="001B2DF9"/>
    <w:rsid w:val="001B2E3E"/>
    <w:rsid w:val="001B362D"/>
    <w:rsid w:val="001B42E7"/>
    <w:rsid w:val="001B49F3"/>
    <w:rsid w:val="001B4FB2"/>
    <w:rsid w:val="001B55FF"/>
    <w:rsid w:val="001B5900"/>
    <w:rsid w:val="001B6142"/>
    <w:rsid w:val="001B7087"/>
    <w:rsid w:val="001B7C06"/>
    <w:rsid w:val="001B7CF3"/>
    <w:rsid w:val="001C0756"/>
    <w:rsid w:val="001C0A28"/>
    <w:rsid w:val="001C1491"/>
    <w:rsid w:val="001C1D66"/>
    <w:rsid w:val="001C2FBB"/>
    <w:rsid w:val="001C34ED"/>
    <w:rsid w:val="001C3DD6"/>
    <w:rsid w:val="001C3F82"/>
    <w:rsid w:val="001C4518"/>
    <w:rsid w:val="001C53FA"/>
    <w:rsid w:val="001C57FE"/>
    <w:rsid w:val="001C61B1"/>
    <w:rsid w:val="001C67B4"/>
    <w:rsid w:val="001C6953"/>
    <w:rsid w:val="001C6BB3"/>
    <w:rsid w:val="001D0752"/>
    <w:rsid w:val="001D0D69"/>
    <w:rsid w:val="001D0F71"/>
    <w:rsid w:val="001D18DC"/>
    <w:rsid w:val="001D1C8E"/>
    <w:rsid w:val="001D264B"/>
    <w:rsid w:val="001D2753"/>
    <w:rsid w:val="001D2B2B"/>
    <w:rsid w:val="001D2E6F"/>
    <w:rsid w:val="001D3256"/>
    <w:rsid w:val="001D33F2"/>
    <w:rsid w:val="001D35AE"/>
    <w:rsid w:val="001D35D7"/>
    <w:rsid w:val="001D3644"/>
    <w:rsid w:val="001D3B0D"/>
    <w:rsid w:val="001D43C5"/>
    <w:rsid w:val="001D5175"/>
    <w:rsid w:val="001D589B"/>
    <w:rsid w:val="001D5B54"/>
    <w:rsid w:val="001D6DF6"/>
    <w:rsid w:val="001D70C1"/>
    <w:rsid w:val="001D7889"/>
    <w:rsid w:val="001D7927"/>
    <w:rsid w:val="001D7B91"/>
    <w:rsid w:val="001E05EB"/>
    <w:rsid w:val="001E098B"/>
    <w:rsid w:val="001E0EAC"/>
    <w:rsid w:val="001E134C"/>
    <w:rsid w:val="001E2324"/>
    <w:rsid w:val="001E26A0"/>
    <w:rsid w:val="001E29FB"/>
    <w:rsid w:val="001E2E83"/>
    <w:rsid w:val="001E34A0"/>
    <w:rsid w:val="001E3559"/>
    <w:rsid w:val="001E36C3"/>
    <w:rsid w:val="001E4807"/>
    <w:rsid w:val="001E586A"/>
    <w:rsid w:val="001E59F9"/>
    <w:rsid w:val="001E633C"/>
    <w:rsid w:val="001E6C4B"/>
    <w:rsid w:val="001E7102"/>
    <w:rsid w:val="001E75DC"/>
    <w:rsid w:val="001E7A8F"/>
    <w:rsid w:val="001E7F10"/>
    <w:rsid w:val="001F08E4"/>
    <w:rsid w:val="001F1596"/>
    <w:rsid w:val="001F180A"/>
    <w:rsid w:val="001F1848"/>
    <w:rsid w:val="001F1BCA"/>
    <w:rsid w:val="001F2008"/>
    <w:rsid w:val="001F2931"/>
    <w:rsid w:val="001F2C39"/>
    <w:rsid w:val="001F2F7B"/>
    <w:rsid w:val="001F38F4"/>
    <w:rsid w:val="001F4521"/>
    <w:rsid w:val="001F4EFE"/>
    <w:rsid w:val="001F51A0"/>
    <w:rsid w:val="001F5720"/>
    <w:rsid w:val="001F5CC6"/>
    <w:rsid w:val="001F67F5"/>
    <w:rsid w:val="001F6868"/>
    <w:rsid w:val="001F6DBD"/>
    <w:rsid w:val="001F731C"/>
    <w:rsid w:val="001F7384"/>
    <w:rsid w:val="001F7B1A"/>
    <w:rsid w:val="00200E59"/>
    <w:rsid w:val="00201336"/>
    <w:rsid w:val="00201512"/>
    <w:rsid w:val="00201521"/>
    <w:rsid w:val="002016C9"/>
    <w:rsid w:val="00202615"/>
    <w:rsid w:val="00202BC3"/>
    <w:rsid w:val="00202BFB"/>
    <w:rsid w:val="002032E0"/>
    <w:rsid w:val="0020372C"/>
    <w:rsid w:val="00203911"/>
    <w:rsid w:val="00204B77"/>
    <w:rsid w:val="00204F2E"/>
    <w:rsid w:val="00205020"/>
    <w:rsid w:val="0020524F"/>
    <w:rsid w:val="002057D0"/>
    <w:rsid w:val="00205EE2"/>
    <w:rsid w:val="002060AD"/>
    <w:rsid w:val="002060F8"/>
    <w:rsid w:val="00206464"/>
    <w:rsid w:val="00206704"/>
    <w:rsid w:val="002072CF"/>
    <w:rsid w:val="00207B9D"/>
    <w:rsid w:val="002100A7"/>
    <w:rsid w:val="002100D7"/>
    <w:rsid w:val="00210725"/>
    <w:rsid w:val="00210CE2"/>
    <w:rsid w:val="00211765"/>
    <w:rsid w:val="00211869"/>
    <w:rsid w:val="00212626"/>
    <w:rsid w:val="002136E7"/>
    <w:rsid w:val="002142E8"/>
    <w:rsid w:val="0021438D"/>
    <w:rsid w:val="00215738"/>
    <w:rsid w:val="00215933"/>
    <w:rsid w:val="00215E66"/>
    <w:rsid w:val="002160CB"/>
    <w:rsid w:val="00216AF8"/>
    <w:rsid w:val="00216F34"/>
    <w:rsid w:val="00220120"/>
    <w:rsid w:val="002206DB"/>
    <w:rsid w:val="0022182D"/>
    <w:rsid w:val="002223E0"/>
    <w:rsid w:val="00222694"/>
    <w:rsid w:val="002232FF"/>
    <w:rsid w:val="00223473"/>
    <w:rsid w:val="002240A5"/>
    <w:rsid w:val="00224859"/>
    <w:rsid w:val="00225A0D"/>
    <w:rsid w:val="00225A12"/>
    <w:rsid w:val="002261B3"/>
    <w:rsid w:val="002264B6"/>
    <w:rsid w:val="002272C7"/>
    <w:rsid w:val="002277E6"/>
    <w:rsid w:val="00227C17"/>
    <w:rsid w:val="00227E6E"/>
    <w:rsid w:val="002300FD"/>
    <w:rsid w:val="002303AE"/>
    <w:rsid w:val="00230B87"/>
    <w:rsid w:val="00231434"/>
    <w:rsid w:val="0023169F"/>
    <w:rsid w:val="002318B6"/>
    <w:rsid w:val="00231E36"/>
    <w:rsid w:val="00231F6C"/>
    <w:rsid w:val="0023247C"/>
    <w:rsid w:val="0023249A"/>
    <w:rsid w:val="00232B94"/>
    <w:rsid w:val="002332C6"/>
    <w:rsid w:val="002339B5"/>
    <w:rsid w:val="00233CEF"/>
    <w:rsid w:val="00233DBE"/>
    <w:rsid w:val="00233FD0"/>
    <w:rsid w:val="002346C2"/>
    <w:rsid w:val="00234945"/>
    <w:rsid w:val="00234C7D"/>
    <w:rsid w:val="00235080"/>
    <w:rsid w:val="002352B0"/>
    <w:rsid w:val="002354E4"/>
    <w:rsid w:val="002357F9"/>
    <w:rsid w:val="00236232"/>
    <w:rsid w:val="00236346"/>
    <w:rsid w:val="00236F55"/>
    <w:rsid w:val="00237041"/>
    <w:rsid w:val="00237227"/>
    <w:rsid w:val="00240302"/>
    <w:rsid w:val="00240336"/>
    <w:rsid w:val="00240493"/>
    <w:rsid w:val="002409BA"/>
    <w:rsid w:val="00240D79"/>
    <w:rsid w:val="002412A9"/>
    <w:rsid w:val="002419F6"/>
    <w:rsid w:val="00241E55"/>
    <w:rsid w:val="0024246E"/>
    <w:rsid w:val="00242C1A"/>
    <w:rsid w:val="00243032"/>
    <w:rsid w:val="00243942"/>
    <w:rsid w:val="00243AB5"/>
    <w:rsid w:val="00244422"/>
    <w:rsid w:val="002464E8"/>
    <w:rsid w:val="002469B5"/>
    <w:rsid w:val="00246B4D"/>
    <w:rsid w:val="0024710C"/>
    <w:rsid w:val="0024771D"/>
    <w:rsid w:val="00247CD3"/>
    <w:rsid w:val="00250206"/>
    <w:rsid w:val="00250471"/>
    <w:rsid w:val="00251982"/>
    <w:rsid w:val="00251EA4"/>
    <w:rsid w:val="00253704"/>
    <w:rsid w:val="00253776"/>
    <w:rsid w:val="00253A91"/>
    <w:rsid w:val="00253B29"/>
    <w:rsid w:val="00253B93"/>
    <w:rsid w:val="00254545"/>
    <w:rsid w:val="00254558"/>
    <w:rsid w:val="00254611"/>
    <w:rsid w:val="0025480A"/>
    <w:rsid w:val="00255417"/>
    <w:rsid w:val="00255657"/>
    <w:rsid w:val="00255758"/>
    <w:rsid w:val="00256BB6"/>
    <w:rsid w:val="00257989"/>
    <w:rsid w:val="00257E75"/>
    <w:rsid w:val="00260517"/>
    <w:rsid w:val="002605C6"/>
    <w:rsid w:val="0026099E"/>
    <w:rsid w:val="00260EA6"/>
    <w:rsid w:val="002613E6"/>
    <w:rsid w:val="002614D0"/>
    <w:rsid w:val="0026235D"/>
    <w:rsid w:val="002624ED"/>
    <w:rsid w:val="00262547"/>
    <w:rsid w:val="002628FE"/>
    <w:rsid w:val="00262901"/>
    <w:rsid w:val="00262BF6"/>
    <w:rsid w:val="00262FED"/>
    <w:rsid w:val="00263105"/>
    <w:rsid w:val="00263192"/>
    <w:rsid w:val="002636DB"/>
    <w:rsid w:val="00263E21"/>
    <w:rsid w:val="00263E51"/>
    <w:rsid w:val="00264006"/>
    <w:rsid w:val="0026447B"/>
    <w:rsid w:val="00264869"/>
    <w:rsid w:val="00265214"/>
    <w:rsid w:val="00265571"/>
    <w:rsid w:val="00265D3C"/>
    <w:rsid w:val="00266DB4"/>
    <w:rsid w:val="00266DBF"/>
    <w:rsid w:val="0026710C"/>
    <w:rsid w:val="00267328"/>
    <w:rsid w:val="00267445"/>
    <w:rsid w:val="00267A2D"/>
    <w:rsid w:val="0027028C"/>
    <w:rsid w:val="0027043F"/>
    <w:rsid w:val="0027138C"/>
    <w:rsid w:val="00272166"/>
    <w:rsid w:val="00272312"/>
    <w:rsid w:val="0027252E"/>
    <w:rsid w:val="00272A84"/>
    <w:rsid w:val="00272BCB"/>
    <w:rsid w:val="002734E5"/>
    <w:rsid w:val="0027363F"/>
    <w:rsid w:val="002737AA"/>
    <w:rsid w:val="00273A41"/>
    <w:rsid w:val="00273F07"/>
    <w:rsid w:val="0027420D"/>
    <w:rsid w:val="002742FB"/>
    <w:rsid w:val="00274360"/>
    <w:rsid w:val="002744E6"/>
    <w:rsid w:val="00274963"/>
    <w:rsid w:val="00274D4D"/>
    <w:rsid w:val="002759E2"/>
    <w:rsid w:val="00275C41"/>
    <w:rsid w:val="00276FB1"/>
    <w:rsid w:val="00277174"/>
    <w:rsid w:val="002774B8"/>
    <w:rsid w:val="0027794E"/>
    <w:rsid w:val="00280A36"/>
    <w:rsid w:val="00280F9B"/>
    <w:rsid w:val="00281255"/>
    <w:rsid w:val="00281293"/>
    <w:rsid w:val="00281326"/>
    <w:rsid w:val="002817CE"/>
    <w:rsid w:val="002828B5"/>
    <w:rsid w:val="00282A36"/>
    <w:rsid w:val="002838D2"/>
    <w:rsid w:val="00283AA6"/>
    <w:rsid w:val="00283AEA"/>
    <w:rsid w:val="0028432C"/>
    <w:rsid w:val="002844B9"/>
    <w:rsid w:val="00284E46"/>
    <w:rsid w:val="002852DD"/>
    <w:rsid w:val="002857E2"/>
    <w:rsid w:val="002868C5"/>
    <w:rsid w:val="00286C6B"/>
    <w:rsid w:val="0028703E"/>
    <w:rsid w:val="002870A9"/>
    <w:rsid w:val="002874B8"/>
    <w:rsid w:val="002874DA"/>
    <w:rsid w:val="0029005F"/>
    <w:rsid w:val="00290AB0"/>
    <w:rsid w:val="00290ABD"/>
    <w:rsid w:val="0029168A"/>
    <w:rsid w:val="002916B4"/>
    <w:rsid w:val="00291FD5"/>
    <w:rsid w:val="0029204A"/>
    <w:rsid w:val="0029224E"/>
    <w:rsid w:val="00292B89"/>
    <w:rsid w:val="00292DAB"/>
    <w:rsid w:val="00293BAF"/>
    <w:rsid w:val="00293E05"/>
    <w:rsid w:val="00293E5B"/>
    <w:rsid w:val="00294025"/>
    <w:rsid w:val="0029506F"/>
    <w:rsid w:val="002951ED"/>
    <w:rsid w:val="0029572D"/>
    <w:rsid w:val="002959BB"/>
    <w:rsid w:val="00296BA3"/>
    <w:rsid w:val="002A05EE"/>
    <w:rsid w:val="002A0B4A"/>
    <w:rsid w:val="002A0DED"/>
    <w:rsid w:val="002A0FA2"/>
    <w:rsid w:val="002A17E0"/>
    <w:rsid w:val="002A21AE"/>
    <w:rsid w:val="002A3203"/>
    <w:rsid w:val="002A34C1"/>
    <w:rsid w:val="002A410C"/>
    <w:rsid w:val="002A503B"/>
    <w:rsid w:val="002A54EE"/>
    <w:rsid w:val="002A5851"/>
    <w:rsid w:val="002A58F9"/>
    <w:rsid w:val="002A5C43"/>
    <w:rsid w:val="002A5DEC"/>
    <w:rsid w:val="002A612A"/>
    <w:rsid w:val="002A612B"/>
    <w:rsid w:val="002A6A5A"/>
    <w:rsid w:val="002A6B75"/>
    <w:rsid w:val="002A729E"/>
    <w:rsid w:val="002A7445"/>
    <w:rsid w:val="002A7490"/>
    <w:rsid w:val="002A74D1"/>
    <w:rsid w:val="002A7FB5"/>
    <w:rsid w:val="002B0503"/>
    <w:rsid w:val="002B0969"/>
    <w:rsid w:val="002B18D7"/>
    <w:rsid w:val="002B21DA"/>
    <w:rsid w:val="002B25A8"/>
    <w:rsid w:val="002B261F"/>
    <w:rsid w:val="002B262D"/>
    <w:rsid w:val="002B2F9B"/>
    <w:rsid w:val="002B35F2"/>
    <w:rsid w:val="002B37AE"/>
    <w:rsid w:val="002B6125"/>
    <w:rsid w:val="002B613D"/>
    <w:rsid w:val="002B6241"/>
    <w:rsid w:val="002B7CE1"/>
    <w:rsid w:val="002C091A"/>
    <w:rsid w:val="002C096F"/>
    <w:rsid w:val="002C1160"/>
    <w:rsid w:val="002C1B12"/>
    <w:rsid w:val="002C21AB"/>
    <w:rsid w:val="002C29F0"/>
    <w:rsid w:val="002C2B68"/>
    <w:rsid w:val="002C3CD5"/>
    <w:rsid w:val="002C3D70"/>
    <w:rsid w:val="002C482E"/>
    <w:rsid w:val="002C4D87"/>
    <w:rsid w:val="002C510A"/>
    <w:rsid w:val="002C5185"/>
    <w:rsid w:val="002C57E5"/>
    <w:rsid w:val="002C66C4"/>
    <w:rsid w:val="002C71C1"/>
    <w:rsid w:val="002C72CA"/>
    <w:rsid w:val="002C736C"/>
    <w:rsid w:val="002C7640"/>
    <w:rsid w:val="002C7704"/>
    <w:rsid w:val="002C7F13"/>
    <w:rsid w:val="002D023F"/>
    <w:rsid w:val="002D02FC"/>
    <w:rsid w:val="002D0C31"/>
    <w:rsid w:val="002D1528"/>
    <w:rsid w:val="002D1C68"/>
    <w:rsid w:val="002D1E1A"/>
    <w:rsid w:val="002D206A"/>
    <w:rsid w:val="002D224A"/>
    <w:rsid w:val="002D2A01"/>
    <w:rsid w:val="002D358E"/>
    <w:rsid w:val="002D49FE"/>
    <w:rsid w:val="002D4CFC"/>
    <w:rsid w:val="002D518C"/>
    <w:rsid w:val="002D5A75"/>
    <w:rsid w:val="002D65B3"/>
    <w:rsid w:val="002D6C33"/>
    <w:rsid w:val="002D7931"/>
    <w:rsid w:val="002D7D6B"/>
    <w:rsid w:val="002D7F7E"/>
    <w:rsid w:val="002E02C3"/>
    <w:rsid w:val="002E054B"/>
    <w:rsid w:val="002E11C0"/>
    <w:rsid w:val="002E18FC"/>
    <w:rsid w:val="002E2247"/>
    <w:rsid w:val="002E24B0"/>
    <w:rsid w:val="002E24E5"/>
    <w:rsid w:val="002E2AA6"/>
    <w:rsid w:val="002E349E"/>
    <w:rsid w:val="002E368B"/>
    <w:rsid w:val="002E3FE3"/>
    <w:rsid w:val="002E4B87"/>
    <w:rsid w:val="002E4C49"/>
    <w:rsid w:val="002E4E8A"/>
    <w:rsid w:val="002E50F6"/>
    <w:rsid w:val="002E5B37"/>
    <w:rsid w:val="002E60FF"/>
    <w:rsid w:val="002E63BE"/>
    <w:rsid w:val="002E6640"/>
    <w:rsid w:val="002E6F8B"/>
    <w:rsid w:val="002E7125"/>
    <w:rsid w:val="002E7698"/>
    <w:rsid w:val="002F08DF"/>
    <w:rsid w:val="002F1330"/>
    <w:rsid w:val="002F1788"/>
    <w:rsid w:val="002F2335"/>
    <w:rsid w:val="002F255C"/>
    <w:rsid w:val="002F28E7"/>
    <w:rsid w:val="002F2EF5"/>
    <w:rsid w:val="002F3135"/>
    <w:rsid w:val="002F36CE"/>
    <w:rsid w:val="002F3FEE"/>
    <w:rsid w:val="002F4439"/>
    <w:rsid w:val="002F4E7E"/>
    <w:rsid w:val="002F52A9"/>
    <w:rsid w:val="002F5B45"/>
    <w:rsid w:val="002F6822"/>
    <w:rsid w:val="002F6D42"/>
    <w:rsid w:val="002F717E"/>
    <w:rsid w:val="002F7443"/>
    <w:rsid w:val="002F77CF"/>
    <w:rsid w:val="00300BF9"/>
    <w:rsid w:val="0030188D"/>
    <w:rsid w:val="00301D68"/>
    <w:rsid w:val="00301F35"/>
    <w:rsid w:val="003031DA"/>
    <w:rsid w:val="00303E5D"/>
    <w:rsid w:val="00303EED"/>
    <w:rsid w:val="00304059"/>
    <w:rsid w:val="003043AE"/>
    <w:rsid w:val="00306206"/>
    <w:rsid w:val="003079AC"/>
    <w:rsid w:val="00310266"/>
    <w:rsid w:val="00310A4F"/>
    <w:rsid w:val="00311649"/>
    <w:rsid w:val="00311B2C"/>
    <w:rsid w:val="00312651"/>
    <w:rsid w:val="003133F7"/>
    <w:rsid w:val="003135FA"/>
    <w:rsid w:val="00313634"/>
    <w:rsid w:val="00314239"/>
    <w:rsid w:val="00314720"/>
    <w:rsid w:val="003157F8"/>
    <w:rsid w:val="003166B3"/>
    <w:rsid w:val="0032002D"/>
    <w:rsid w:val="00321448"/>
    <w:rsid w:val="00321548"/>
    <w:rsid w:val="00322127"/>
    <w:rsid w:val="00322D0B"/>
    <w:rsid w:val="00322DAD"/>
    <w:rsid w:val="00322E18"/>
    <w:rsid w:val="00322F05"/>
    <w:rsid w:val="0032330E"/>
    <w:rsid w:val="00323A76"/>
    <w:rsid w:val="003242DE"/>
    <w:rsid w:val="00324C74"/>
    <w:rsid w:val="00324F79"/>
    <w:rsid w:val="0032538B"/>
    <w:rsid w:val="00325871"/>
    <w:rsid w:val="00325EB2"/>
    <w:rsid w:val="00325F7D"/>
    <w:rsid w:val="00326F1B"/>
    <w:rsid w:val="00327401"/>
    <w:rsid w:val="003275EC"/>
    <w:rsid w:val="003279C1"/>
    <w:rsid w:val="00327ED4"/>
    <w:rsid w:val="0033035B"/>
    <w:rsid w:val="0033054D"/>
    <w:rsid w:val="003306E6"/>
    <w:rsid w:val="00330814"/>
    <w:rsid w:val="003315E2"/>
    <w:rsid w:val="003317EC"/>
    <w:rsid w:val="00331822"/>
    <w:rsid w:val="00332011"/>
    <w:rsid w:val="00332100"/>
    <w:rsid w:val="003339C1"/>
    <w:rsid w:val="00333CE5"/>
    <w:rsid w:val="0033420F"/>
    <w:rsid w:val="003343F7"/>
    <w:rsid w:val="003346EB"/>
    <w:rsid w:val="00334B0A"/>
    <w:rsid w:val="00334C22"/>
    <w:rsid w:val="00334C6A"/>
    <w:rsid w:val="00335058"/>
    <w:rsid w:val="00335640"/>
    <w:rsid w:val="00335933"/>
    <w:rsid w:val="0033618F"/>
    <w:rsid w:val="00336C43"/>
    <w:rsid w:val="003370D1"/>
    <w:rsid w:val="003370E4"/>
    <w:rsid w:val="00337161"/>
    <w:rsid w:val="0034031F"/>
    <w:rsid w:val="00340AC8"/>
    <w:rsid w:val="0034120F"/>
    <w:rsid w:val="003415FB"/>
    <w:rsid w:val="00341657"/>
    <w:rsid w:val="00341839"/>
    <w:rsid w:val="00341D14"/>
    <w:rsid w:val="00342818"/>
    <w:rsid w:val="00342BBF"/>
    <w:rsid w:val="003434D9"/>
    <w:rsid w:val="003437BD"/>
    <w:rsid w:val="00343D67"/>
    <w:rsid w:val="0034411F"/>
    <w:rsid w:val="003445E1"/>
    <w:rsid w:val="003447C6"/>
    <w:rsid w:val="00344FDF"/>
    <w:rsid w:val="00345605"/>
    <w:rsid w:val="003459AA"/>
    <w:rsid w:val="003460C7"/>
    <w:rsid w:val="00347260"/>
    <w:rsid w:val="003477F8"/>
    <w:rsid w:val="003478CF"/>
    <w:rsid w:val="00350462"/>
    <w:rsid w:val="00350732"/>
    <w:rsid w:val="0035087F"/>
    <w:rsid w:val="00350E98"/>
    <w:rsid w:val="00350FC8"/>
    <w:rsid w:val="0035181E"/>
    <w:rsid w:val="00351E86"/>
    <w:rsid w:val="00351F1B"/>
    <w:rsid w:val="003520AD"/>
    <w:rsid w:val="003525D4"/>
    <w:rsid w:val="00352F8F"/>
    <w:rsid w:val="0035323C"/>
    <w:rsid w:val="00353A5D"/>
    <w:rsid w:val="003545B8"/>
    <w:rsid w:val="00354813"/>
    <w:rsid w:val="00356068"/>
    <w:rsid w:val="00356733"/>
    <w:rsid w:val="00356B7C"/>
    <w:rsid w:val="00356DE2"/>
    <w:rsid w:val="003576F3"/>
    <w:rsid w:val="00357CF9"/>
    <w:rsid w:val="00357D04"/>
    <w:rsid w:val="00357EFF"/>
    <w:rsid w:val="003608E7"/>
    <w:rsid w:val="00360904"/>
    <w:rsid w:val="00360AA1"/>
    <w:rsid w:val="00360BB4"/>
    <w:rsid w:val="00360DC3"/>
    <w:rsid w:val="003616D0"/>
    <w:rsid w:val="0036184E"/>
    <w:rsid w:val="00361D13"/>
    <w:rsid w:val="00362D74"/>
    <w:rsid w:val="00362D92"/>
    <w:rsid w:val="00363698"/>
    <w:rsid w:val="003637C7"/>
    <w:rsid w:val="003649E2"/>
    <w:rsid w:val="00364B32"/>
    <w:rsid w:val="00364E6F"/>
    <w:rsid w:val="0036500A"/>
    <w:rsid w:val="00365A9A"/>
    <w:rsid w:val="00366032"/>
    <w:rsid w:val="003667C9"/>
    <w:rsid w:val="00367030"/>
    <w:rsid w:val="003674C2"/>
    <w:rsid w:val="00367ACA"/>
    <w:rsid w:val="003703B1"/>
    <w:rsid w:val="003709FC"/>
    <w:rsid w:val="00370A65"/>
    <w:rsid w:val="003713CF"/>
    <w:rsid w:val="00371423"/>
    <w:rsid w:val="00371B50"/>
    <w:rsid w:val="00371B68"/>
    <w:rsid w:val="00371D93"/>
    <w:rsid w:val="0037221A"/>
    <w:rsid w:val="00372510"/>
    <w:rsid w:val="00372696"/>
    <w:rsid w:val="00372867"/>
    <w:rsid w:val="00372874"/>
    <w:rsid w:val="00372AA0"/>
    <w:rsid w:val="00372B93"/>
    <w:rsid w:val="00372C97"/>
    <w:rsid w:val="00372CC0"/>
    <w:rsid w:val="00372DE4"/>
    <w:rsid w:val="00372F14"/>
    <w:rsid w:val="00372F1E"/>
    <w:rsid w:val="00372FF8"/>
    <w:rsid w:val="00373AD0"/>
    <w:rsid w:val="00374249"/>
    <w:rsid w:val="00374532"/>
    <w:rsid w:val="00374801"/>
    <w:rsid w:val="00374817"/>
    <w:rsid w:val="00374868"/>
    <w:rsid w:val="0037497F"/>
    <w:rsid w:val="00375975"/>
    <w:rsid w:val="00375DAC"/>
    <w:rsid w:val="00375DAE"/>
    <w:rsid w:val="00375DF4"/>
    <w:rsid w:val="0037610E"/>
    <w:rsid w:val="00376313"/>
    <w:rsid w:val="0037673B"/>
    <w:rsid w:val="003770D9"/>
    <w:rsid w:val="00377819"/>
    <w:rsid w:val="00377A6B"/>
    <w:rsid w:val="0038100D"/>
    <w:rsid w:val="00381BEE"/>
    <w:rsid w:val="00382BE4"/>
    <w:rsid w:val="00382FB3"/>
    <w:rsid w:val="00383004"/>
    <w:rsid w:val="003830CE"/>
    <w:rsid w:val="00384EEA"/>
    <w:rsid w:val="003851AE"/>
    <w:rsid w:val="00385E2D"/>
    <w:rsid w:val="0038698A"/>
    <w:rsid w:val="00386A1F"/>
    <w:rsid w:val="0038770C"/>
    <w:rsid w:val="003879FE"/>
    <w:rsid w:val="003906D7"/>
    <w:rsid w:val="00390D83"/>
    <w:rsid w:val="00391204"/>
    <w:rsid w:val="003912AE"/>
    <w:rsid w:val="0039151B"/>
    <w:rsid w:val="0039193B"/>
    <w:rsid w:val="00391D49"/>
    <w:rsid w:val="0039215A"/>
    <w:rsid w:val="0039262E"/>
    <w:rsid w:val="00392989"/>
    <w:rsid w:val="00392A0D"/>
    <w:rsid w:val="00392A34"/>
    <w:rsid w:val="00392CA0"/>
    <w:rsid w:val="003937F3"/>
    <w:rsid w:val="00394DB0"/>
    <w:rsid w:val="00396744"/>
    <w:rsid w:val="00396AD8"/>
    <w:rsid w:val="00397632"/>
    <w:rsid w:val="00397D31"/>
    <w:rsid w:val="00397DC7"/>
    <w:rsid w:val="00397FE9"/>
    <w:rsid w:val="003A01E1"/>
    <w:rsid w:val="003A0982"/>
    <w:rsid w:val="003A1333"/>
    <w:rsid w:val="003A137A"/>
    <w:rsid w:val="003A15D6"/>
    <w:rsid w:val="003A1847"/>
    <w:rsid w:val="003A21AA"/>
    <w:rsid w:val="003A242A"/>
    <w:rsid w:val="003A2F0A"/>
    <w:rsid w:val="003A3535"/>
    <w:rsid w:val="003A3C94"/>
    <w:rsid w:val="003A3E19"/>
    <w:rsid w:val="003A4C52"/>
    <w:rsid w:val="003A5145"/>
    <w:rsid w:val="003A583A"/>
    <w:rsid w:val="003A671A"/>
    <w:rsid w:val="003A6969"/>
    <w:rsid w:val="003A6C44"/>
    <w:rsid w:val="003A6E93"/>
    <w:rsid w:val="003A7000"/>
    <w:rsid w:val="003A7597"/>
    <w:rsid w:val="003A7C18"/>
    <w:rsid w:val="003A7CD5"/>
    <w:rsid w:val="003B03C8"/>
    <w:rsid w:val="003B0881"/>
    <w:rsid w:val="003B0B06"/>
    <w:rsid w:val="003B1144"/>
    <w:rsid w:val="003B151E"/>
    <w:rsid w:val="003B16A5"/>
    <w:rsid w:val="003B2445"/>
    <w:rsid w:val="003B2C9A"/>
    <w:rsid w:val="003B32E8"/>
    <w:rsid w:val="003B3A27"/>
    <w:rsid w:val="003B40EE"/>
    <w:rsid w:val="003B423B"/>
    <w:rsid w:val="003B43B8"/>
    <w:rsid w:val="003B43EE"/>
    <w:rsid w:val="003B46D7"/>
    <w:rsid w:val="003B4A01"/>
    <w:rsid w:val="003B4BEB"/>
    <w:rsid w:val="003B4ED9"/>
    <w:rsid w:val="003B4FFF"/>
    <w:rsid w:val="003B525F"/>
    <w:rsid w:val="003B5854"/>
    <w:rsid w:val="003B5DAC"/>
    <w:rsid w:val="003B62C9"/>
    <w:rsid w:val="003B6A5F"/>
    <w:rsid w:val="003B6F36"/>
    <w:rsid w:val="003B7D84"/>
    <w:rsid w:val="003B7E9A"/>
    <w:rsid w:val="003B7F05"/>
    <w:rsid w:val="003C05B5"/>
    <w:rsid w:val="003C0F57"/>
    <w:rsid w:val="003C11C1"/>
    <w:rsid w:val="003C169D"/>
    <w:rsid w:val="003C35A7"/>
    <w:rsid w:val="003C3A1E"/>
    <w:rsid w:val="003C43BF"/>
    <w:rsid w:val="003C4810"/>
    <w:rsid w:val="003C505B"/>
    <w:rsid w:val="003C55EE"/>
    <w:rsid w:val="003C5CD4"/>
    <w:rsid w:val="003C5EBE"/>
    <w:rsid w:val="003C6F0F"/>
    <w:rsid w:val="003C71CF"/>
    <w:rsid w:val="003C789D"/>
    <w:rsid w:val="003C798D"/>
    <w:rsid w:val="003C7ADC"/>
    <w:rsid w:val="003C7D8B"/>
    <w:rsid w:val="003C7F07"/>
    <w:rsid w:val="003D0371"/>
    <w:rsid w:val="003D11F1"/>
    <w:rsid w:val="003D1470"/>
    <w:rsid w:val="003D14CF"/>
    <w:rsid w:val="003D157B"/>
    <w:rsid w:val="003D16BF"/>
    <w:rsid w:val="003D1BFF"/>
    <w:rsid w:val="003D1C7E"/>
    <w:rsid w:val="003D260B"/>
    <w:rsid w:val="003D2837"/>
    <w:rsid w:val="003D2BC0"/>
    <w:rsid w:val="003D383E"/>
    <w:rsid w:val="003D4221"/>
    <w:rsid w:val="003D484B"/>
    <w:rsid w:val="003D4A56"/>
    <w:rsid w:val="003D4B09"/>
    <w:rsid w:val="003D4E48"/>
    <w:rsid w:val="003D4F41"/>
    <w:rsid w:val="003D52E8"/>
    <w:rsid w:val="003D545E"/>
    <w:rsid w:val="003D5827"/>
    <w:rsid w:val="003D5B0A"/>
    <w:rsid w:val="003D5C85"/>
    <w:rsid w:val="003D6056"/>
    <w:rsid w:val="003D6552"/>
    <w:rsid w:val="003D689F"/>
    <w:rsid w:val="003D6DE0"/>
    <w:rsid w:val="003D7B2C"/>
    <w:rsid w:val="003E1027"/>
    <w:rsid w:val="003E10A3"/>
    <w:rsid w:val="003E1917"/>
    <w:rsid w:val="003E2026"/>
    <w:rsid w:val="003E2234"/>
    <w:rsid w:val="003E259A"/>
    <w:rsid w:val="003E25E0"/>
    <w:rsid w:val="003E2751"/>
    <w:rsid w:val="003E2B4C"/>
    <w:rsid w:val="003E3332"/>
    <w:rsid w:val="003E33B2"/>
    <w:rsid w:val="003E3B97"/>
    <w:rsid w:val="003E3E42"/>
    <w:rsid w:val="003E40BB"/>
    <w:rsid w:val="003E422D"/>
    <w:rsid w:val="003E4322"/>
    <w:rsid w:val="003E4DD7"/>
    <w:rsid w:val="003E50F1"/>
    <w:rsid w:val="003E520B"/>
    <w:rsid w:val="003E5211"/>
    <w:rsid w:val="003E55EB"/>
    <w:rsid w:val="003E5738"/>
    <w:rsid w:val="003E5928"/>
    <w:rsid w:val="003E5F80"/>
    <w:rsid w:val="003E5FBD"/>
    <w:rsid w:val="003E6A88"/>
    <w:rsid w:val="003E71DA"/>
    <w:rsid w:val="003E792F"/>
    <w:rsid w:val="003E7CE2"/>
    <w:rsid w:val="003F0E1B"/>
    <w:rsid w:val="003F1C5F"/>
    <w:rsid w:val="003F1C76"/>
    <w:rsid w:val="003F22BA"/>
    <w:rsid w:val="003F27D4"/>
    <w:rsid w:val="003F2ABB"/>
    <w:rsid w:val="003F31D2"/>
    <w:rsid w:val="003F3716"/>
    <w:rsid w:val="003F3DC0"/>
    <w:rsid w:val="003F429A"/>
    <w:rsid w:val="003F4845"/>
    <w:rsid w:val="003F4DBE"/>
    <w:rsid w:val="003F557E"/>
    <w:rsid w:val="003F59FF"/>
    <w:rsid w:val="003F5F12"/>
    <w:rsid w:val="003F5FD3"/>
    <w:rsid w:val="003F6991"/>
    <w:rsid w:val="003F6A9B"/>
    <w:rsid w:val="003F6EB3"/>
    <w:rsid w:val="003F728C"/>
    <w:rsid w:val="003F7CC5"/>
    <w:rsid w:val="003F7D7F"/>
    <w:rsid w:val="00400105"/>
    <w:rsid w:val="0040052E"/>
    <w:rsid w:val="0040083D"/>
    <w:rsid w:val="00400866"/>
    <w:rsid w:val="00400D68"/>
    <w:rsid w:val="00400D6A"/>
    <w:rsid w:val="0040103F"/>
    <w:rsid w:val="00401A63"/>
    <w:rsid w:val="00401CDB"/>
    <w:rsid w:val="004026A7"/>
    <w:rsid w:val="004027A9"/>
    <w:rsid w:val="0040289D"/>
    <w:rsid w:val="00402957"/>
    <w:rsid w:val="0040376A"/>
    <w:rsid w:val="00403B75"/>
    <w:rsid w:val="00404682"/>
    <w:rsid w:val="004050D8"/>
    <w:rsid w:val="004056CF"/>
    <w:rsid w:val="00406197"/>
    <w:rsid w:val="004067AD"/>
    <w:rsid w:val="00406EAF"/>
    <w:rsid w:val="00406F2F"/>
    <w:rsid w:val="004070E0"/>
    <w:rsid w:val="00407134"/>
    <w:rsid w:val="004074EA"/>
    <w:rsid w:val="00407EE0"/>
    <w:rsid w:val="00407F42"/>
    <w:rsid w:val="0041093A"/>
    <w:rsid w:val="00411007"/>
    <w:rsid w:val="0041148A"/>
    <w:rsid w:val="004124CC"/>
    <w:rsid w:val="0041344C"/>
    <w:rsid w:val="004139D8"/>
    <w:rsid w:val="00413A7E"/>
    <w:rsid w:val="00414057"/>
    <w:rsid w:val="00414806"/>
    <w:rsid w:val="00415924"/>
    <w:rsid w:val="004162BD"/>
    <w:rsid w:val="0041632B"/>
    <w:rsid w:val="004169CA"/>
    <w:rsid w:val="004172BB"/>
    <w:rsid w:val="004172EA"/>
    <w:rsid w:val="00417AD9"/>
    <w:rsid w:val="00417F05"/>
    <w:rsid w:val="00420480"/>
    <w:rsid w:val="00420A09"/>
    <w:rsid w:val="00420B24"/>
    <w:rsid w:val="00421095"/>
    <w:rsid w:val="00421CB9"/>
    <w:rsid w:val="00422536"/>
    <w:rsid w:val="00423819"/>
    <w:rsid w:val="00424345"/>
    <w:rsid w:val="0042451C"/>
    <w:rsid w:val="00424AA2"/>
    <w:rsid w:val="00424B78"/>
    <w:rsid w:val="00425260"/>
    <w:rsid w:val="00425AAC"/>
    <w:rsid w:val="00425C70"/>
    <w:rsid w:val="004268FB"/>
    <w:rsid w:val="00426BAE"/>
    <w:rsid w:val="00426EE9"/>
    <w:rsid w:val="00426F42"/>
    <w:rsid w:val="00427291"/>
    <w:rsid w:val="004276C4"/>
    <w:rsid w:val="00427E8F"/>
    <w:rsid w:val="00427F9B"/>
    <w:rsid w:val="0043095C"/>
    <w:rsid w:val="00430AF1"/>
    <w:rsid w:val="00430C5B"/>
    <w:rsid w:val="00430CEC"/>
    <w:rsid w:val="004310D9"/>
    <w:rsid w:val="00431E9D"/>
    <w:rsid w:val="004335E8"/>
    <w:rsid w:val="00433D3A"/>
    <w:rsid w:val="00433F9D"/>
    <w:rsid w:val="004345F7"/>
    <w:rsid w:val="00434EA7"/>
    <w:rsid w:val="0043571E"/>
    <w:rsid w:val="0043685B"/>
    <w:rsid w:val="00436A3E"/>
    <w:rsid w:val="004377DB"/>
    <w:rsid w:val="00437B42"/>
    <w:rsid w:val="00440173"/>
    <w:rsid w:val="0044039A"/>
    <w:rsid w:val="004403AF"/>
    <w:rsid w:val="00440714"/>
    <w:rsid w:val="004407BD"/>
    <w:rsid w:val="00440B24"/>
    <w:rsid w:val="00440BB7"/>
    <w:rsid w:val="00440D78"/>
    <w:rsid w:val="00440ED4"/>
    <w:rsid w:val="0044113D"/>
    <w:rsid w:val="00441A2A"/>
    <w:rsid w:val="00441CD1"/>
    <w:rsid w:val="004420F6"/>
    <w:rsid w:val="004423DF"/>
    <w:rsid w:val="00442F94"/>
    <w:rsid w:val="0044359A"/>
    <w:rsid w:val="004437AF"/>
    <w:rsid w:val="00443BFA"/>
    <w:rsid w:val="00443CCD"/>
    <w:rsid w:val="00444F65"/>
    <w:rsid w:val="0044514C"/>
    <w:rsid w:val="004456C7"/>
    <w:rsid w:val="00445D26"/>
    <w:rsid w:val="004461F3"/>
    <w:rsid w:val="00446720"/>
    <w:rsid w:val="00446A5A"/>
    <w:rsid w:val="004476C6"/>
    <w:rsid w:val="0045130C"/>
    <w:rsid w:val="00451492"/>
    <w:rsid w:val="00451A09"/>
    <w:rsid w:val="00452660"/>
    <w:rsid w:val="0045297A"/>
    <w:rsid w:val="00452C35"/>
    <w:rsid w:val="004533C5"/>
    <w:rsid w:val="00453578"/>
    <w:rsid w:val="00453F50"/>
    <w:rsid w:val="004543B9"/>
    <w:rsid w:val="00454A58"/>
    <w:rsid w:val="00455214"/>
    <w:rsid w:val="00456136"/>
    <w:rsid w:val="004566A7"/>
    <w:rsid w:val="004566E4"/>
    <w:rsid w:val="0045677E"/>
    <w:rsid w:val="00456786"/>
    <w:rsid w:val="00456D5A"/>
    <w:rsid w:val="00457F28"/>
    <w:rsid w:val="004607C9"/>
    <w:rsid w:val="00460C9F"/>
    <w:rsid w:val="0046133D"/>
    <w:rsid w:val="00461655"/>
    <w:rsid w:val="00461972"/>
    <w:rsid w:val="004620E3"/>
    <w:rsid w:val="0046230D"/>
    <w:rsid w:val="0046317E"/>
    <w:rsid w:val="0046386B"/>
    <w:rsid w:val="00463976"/>
    <w:rsid w:val="00463DE9"/>
    <w:rsid w:val="00464328"/>
    <w:rsid w:val="0046627C"/>
    <w:rsid w:val="00467B68"/>
    <w:rsid w:val="00467DB1"/>
    <w:rsid w:val="00470131"/>
    <w:rsid w:val="00470B18"/>
    <w:rsid w:val="00470EFF"/>
    <w:rsid w:val="004712B5"/>
    <w:rsid w:val="0047238A"/>
    <w:rsid w:val="0047275D"/>
    <w:rsid w:val="00472C9B"/>
    <w:rsid w:val="0047364A"/>
    <w:rsid w:val="00473779"/>
    <w:rsid w:val="004739F7"/>
    <w:rsid w:val="00473A5E"/>
    <w:rsid w:val="00473BED"/>
    <w:rsid w:val="00473E2B"/>
    <w:rsid w:val="004758A9"/>
    <w:rsid w:val="00475A82"/>
    <w:rsid w:val="00475DBF"/>
    <w:rsid w:val="00475DEC"/>
    <w:rsid w:val="0047616B"/>
    <w:rsid w:val="00476273"/>
    <w:rsid w:val="004762B6"/>
    <w:rsid w:val="00476466"/>
    <w:rsid w:val="004767FA"/>
    <w:rsid w:val="00476BEF"/>
    <w:rsid w:val="0047720C"/>
    <w:rsid w:val="00477399"/>
    <w:rsid w:val="004775D5"/>
    <w:rsid w:val="0048020B"/>
    <w:rsid w:val="00481893"/>
    <w:rsid w:val="00482472"/>
    <w:rsid w:val="00482A4F"/>
    <w:rsid w:val="00482EB8"/>
    <w:rsid w:val="00483253"/>
    <w:rsid w:val="004838A8"/>
    <w:rsid w:val="00483AC4"/>
    <w:rsid w:val="0048485F"/>
    <w:rsid w:val="00484F13"/>
    <w:rsid w:val="00485036"/>
    <w:rsid w:val="00485B51"/>
    <w:rsid w:val="00485C85"/>
    <w:rsid w:val="00485E50"/>
    <w:rsid w:val="004864DA"/>
    <w:rsid w:val="00486DA1"/>
    <w:rsid w:val="004872BC"/>
    <w:rsid w:val="004874A4"/>
    <w:rsid w:val="00487AF1"/>
    <w:rsid w:val="0049036F"/>
    <w:rsid w:val="00490A25"/>
    <w:rsid w:val="004922F8"/>
    <w:rsid w:val="004925DF"/>
    <w:rsid w:val="00492963"/>
    <w:rsid w:val="00492985"/>
    <w:rsid w:val="0049352E"/>
    <w:rsid w:val="00493934"/>
    <w:rsid w:val="00494348"/>
    <w:rsid w:val="00494355"/>
    <w:rsid w:val="00494537"/>
    <w:rsid w:val="00494945"/>
    <w:rsid w:val="00494A33"/>
    <w:rsid w:val="00494AD8"/>
    <w:rsid w:val="0049526F"/>
    <w:rsid w:val="0049548C"/>
    <w:rsid w:val="00495635"/>
    <w:rsid w:val="00495A8F"/>
    <w:rsid w:val="00495C1A"/>
    <w:rsid w:val="00495E07"/>
    <w:rsid w:val="004966CD"/>
    <w:rsid w:val="004969E6"/>
    <w:rsid w:val="00496F8F"/>
    <w:rsid w:val="0049722F"/>
    <w:rsid w:val="004972B7"/>
    <w:rsid w:val="00497444"/>
    <w:rsid w:val="0049750F"/>
    <w:rsid w:val="00497F70"/>
    <w:rsid w:val="004A02D6"/>
    <w:rsid w:val="004A03E5"/>
    <w:rsid w:val="004A0D38"/>
    <w:rsid w:val="004A18D2"/>
    <w:rsid w:val="004A3521"/>
    <w:rsid w:val="004A4673"/>
    <w:rsid w:val="004A479D"/>
    <w:rsid w:val="004A5032"/>
    <w:rsid w:val="004A503D"/>
    <w:rsid w:val="004A50B7"/>
    <w:rsid w:val="004A5583"/>
    <w:rsid w:val="004A5B3A"/>
    <w:rsid w:val="004A7CD2"/>
    <w:rsid w:val="004B023B"/>
    <w:rsid w:val="004B0406"/>
    <w:rsid w:val="004B141F"/>
    <w:rsid w:val="004B3355"/>
    <w:rsid w:val="004B386F"/>
    <w:rsid w:val="004B3AE9"/>
    <w:rsid w:val="004B4223"/>
    <w:rsid w:val="004B4628"/>
    <w:rsid w:val="004B4A8D"/>
    <w:rsid w:val="004B4B1D"/>
    <w:rsid w:val="004B4D72"/>
    <w:rsid w:val="004B53D9"/>
    <w:rsid w:val="004B565B"/>
    <w:rsid w:val="004B5EAF"/>
    <w:rsid w:val="004B6333"/>
    <w:rsid w:val="004B68AB"/>
    <w:rsid w:val="004B6A70"/>
    <w:rsid w:val="004B744F"/>
    <w:rsid w:val="004B7D42"/>
    <w:rsid w:val="004B7E80"/>
    <w:rsid w:val="004C020F"/>
    <w:rsid w:val="004C026B"/>
    <w:rsid w:val="004C0A0B"/>
    <w:rsid w:val="004C0B34"/>
    <w:rsid w:val="004C0BE9"/>
    <w:rsid w:val="004C0C37"/>
    <w:rsid w:val="004C0E28"/>
    <w:rsid w:val="004C0ED5"/>
    <w:rsid w:val="004C0F58"/>
    <w:rsid w:val="004C100B"/>
    <w:rsid w:val="004C190E"/>
    <w:rsid w:val="004C1D96"/>
    <w:rsid w:val="004C21F7"/>
    <w:rsid w:val="004C389D"/>
    <w:rsid w:val="004C3B20"/>
    <w:rsid w:val="004C3BC1"/>
    <w:rsid w:val="004C44B0"/>
    <w:rsid w:val="004C456B"/>
    <w:rsid w:val="004C4B53"/>
    <w:rsid w:val="004C4D5F"/>
    <w:rsid w:val="004C50F2"/>
    <w:rsid w:val="004C57B8"/>
    <w:rsid w:val="004C5B5B"/>
    <w:rsid w:val="004C6008"/>
    <w:rsid w:val="004C609B"/>
    <w:rsid w:val="004C7196"/>
    <w:rsid w:val="004C7704"/>
    <w:rsid w:val="004C778B"/>
    <w:rsid w:val="004C7B68"/>
    <w:rsid w:val="004D05F2"/>
    <w:rsid w:val="004D081A"/>
    <w:rsid w:val="004D0C92"/>
    <w:rsid w:val="004D149B"/>
    <w:rsid w:val="004D1B24"/>
    <w:rsid w:val="004D1DE3"/>
    <w:rsid w:val="004D27F5"/>
    <w:rsid w:val="004D3455"/>
    <w:rsid w:val="004D35E8"/>
    <w:rsid w:val="004D3ABC"/>
    <w:rsid w:val="004D3C58"/>
    <w:rsid w:val="004D534B"/>
    <w:rsid w:val="004D55F5"/>
    <w:rsid w:val="004D5DC3"/>
    <w:rsid w:val="004D614C"/>
    <w:rsid w:val="004D6B48"/>
    <w:rsid w:val="004D710A"/>
    <w:rsid w:val="004D7B03"/>
    <w:rsid w:val="004D7C75"/>
    <w:rsid w:val="004E01D4"/>
    <w:rsid w:val="004E175F"/>
    <w:rsid w:val="004E1D54"/>
    <w:rsid w:val="004E1DAE"/>
    <w:rsid w:val="004E25A6"/>
    <w:rsid w:val="004E2B67"/>
    <w:rsid w:val="004E363D"/>
    <w:rsid w:val="004E39D3"/>
    <w:rsid w:val="004E601B"/>
    <w:rsid w:val="004E67E9"/>
    <w:rsid w:val="004E6C28"/>
    <w:rsid w:val="004E6FA8"/>
    <w:rsid w:val="004E770E"/>
    <w:rsid w:val="004E7F54"/>
    <w:rsid w:val="004E7FDC"/>
    <w:rsid w:val="004F06EC"/>
    <w:rsid w:val="004F0DCE"/>
    <w:rsid w:val="004F0FDD"/>
    <w:rsid w:val="004F3126"/>
    <w:rsid w:val="004F3624"/>
    <w:rsid w:val="004F3F1F"/>
    <w:rsid w:val="004F4988"/>
    <w:rsid w:val="004F4B5D"/>
    <w:rsid w:val="004F4EBA"/>
    <w:rsid w:val="004F522C"/>
    <w:rsid w:val="004F5555"/>
    <w:rsid w:val="004F5759"/>
    <w:rsid w:val="004F60EF"/>
    <w:rsid w:val="004F644C"/>
    <w:rsid w:val="004F6459"/>
    <w:rsid w:val="004F6475"/>
    <w:rsid w:val="004F648F"/>
    <w:rsid w:val="004F6520"/>
    <w:rsid w:val="004F6B17"/>
    <w:rsid w:val="004F6F85"/>
    <w:rsid w:val="004F723D"/>
    <w:rsid w:val="004F7405"/>
    <w:rsid w:val="004F7B8D"/>
    <w:rsid w:val="0050001C"/>
    <w:rsid w:val="00500F49"/>
    <w:rsid w:val="005012CD"/>
    <w:rsid w:val="0050236E"/>
    <w:rsid w:val="005025DB"/>
    <w:rsid w:val="005025EE"/>
    <w:rsid w:val="00502B39"/>
    <w:rsid w:val="00503154"/>
    <w:rsid w:val="0050355F"/>
    <w:rsid w:val="00503B81"/>
    <w:rsid w:val="00503E80"/>
    <w:rsid w:val="005047DF"/>
    <w:rsid w:val="00505CBC"/>
    <w:rsid w:val="00505F49"/>
    <w:rsid w:val="005063C5"/>
    <w:rsid w:val="00506F0D"/>
    <w:rsid w:val="0050754F"/>
    <w:rsid w:val="005076A8"/>
    <w:rsid w:val="00510B46"/>
    <w:rsid w:val="00510FF1"/>
    <w:rsid w:val="00511008"/>
    <w:rsid w:val="00511972"/>
    <w:rsid w:val="00511ECF"/>
    <w:rsid w:val="00511FA7"/>
    <w:rsid w:val="00512760"/>
    <w:rsid w:val="00512C6D"/>
    <w:rsid w:val="00512E0E"/>
    <w:rsid w:val="00513320"/>
    <w:rsid w:val="00513C9F"/>
    <w:rsid w:val="00513D69"/>
    <w:rsid w:val="00513E14"/>
    <w:rsid w:val="00514105"/>
    <w:rsid w:val="005141C2"/>
    <w:rsid w:val="00514EBC"/>
    <w:rsid w:val="005151FE"/>
    <w:rsid w:val="005154C1"/>
    <w:rsid w:val="00515D6B"/>
    <w:rsid w:val="00515DB0"/>
    <w:rsid w:val="005162AB"/>
    <w:rsid w:val="00517954"/>
    <w:rsid w:val="00520526"/>
    <w:rsid w:val="00520731"/>
    <w:rsid w:val="00520A43"/>
    <w:rsid w:val="00521122"/>
    <w:rsid w:val="005214DE"/>
    <w:rsid w:val="005216FC"/>
    <w:rsid w:val="005221D8"/>
    <w:rsid w:val="00522774"/>
    <w:rsid w:val="00522A83"/>
    <w:rsid w:val="0052351B"/>
    <w:rsid w:val="005237B5"/>
    <w:rsid w:val="00523A69"/>
    <w:rsid w:val="0052566F"/>
    <w:rsid w:val="0052570A"/>
    <w:rsid w:val="005257D7"/>
    <w:rsid w:val="00525A3F"/>
    <w:rsid w:val="00525DF4"/>
    <w:rsid w:val="00526C9D"/>
    <w:rsid w:val="00526E6A"/>
    <w:rsid w:val="00526F6A"/>
    <w:rsid w:val="00527FE1"/>
    <w:rsid w:val="005301D3"/>
    <w:rsid w:val="00530DBE"/>
    <w:rsid w:val="00531322"/>
    <w:rsid w:val="005314DF"/>
    <w:rsid w:val="005319BA"/>
    <w:rsid w:val="00531F21"/>
    <w:rsid w:val="00532510"/>
    <w:rsid w:val="00532A4B"/>
    <w:rsid w:val="00533DF0"/>
    <w:rsid w:val="00535137"/>
    <w:rsid w:val="0053549D"/>
    <w:rsid w:val="00535665"/>
    <w:rsid w:val="005361A8"/>
    <w:rsid w:val="00540347"/>
    <w:rsid w:val="005404F9"/>
    <w:rsid w:val="00541146"/>
    <w:rsid w:val="0054151A"/>
    <w:rsid w:val="00541C21"/>
    <w:rsid w:val="00542211"/>
    <w:rsid w:val="00542637"/>
    <w:rsid w:val="00542682"/>
    <w:rsid w:val="00542710"/>
    <w:rsid w:val="0054273B"/>
    <w:rsid w:val="00542814"/>
    <w:rsid w:val="00544022"/>
    <w:rsid w:val="00544C3D"/>
    <w:rsid w:val="0054520E"/>
    <w:rsid w:val="00545622"/>
    <w:rsid w:val="00545CC2"/>
    <w:rsid w:val="00545E63"/>
    <w:rsid w:val="00546238"/>
    <w:rsid w:val="00547401"/>
    <w:rsid w:val="00547A61"/>
    <w:rsid w:val="00547D3F"/>
    <w:rsid w:val="00547D6C"/>
    <w:rsid w:val="00550AE6"/>
    <w:rsid w:val="005512CD"/>
    <w:rsid w:val="005517AC"/>
    <w:rsid w:val="00551A8C"/>
    <w:rsid w:val="00551DFB"/>
    <w:rsid w:val="00552271"/>
    <w:rsid w:val="00552A11"/>
    <w:rsid w:val="0055382C"/>
    <w:rsid w:val="00553ACE"/>
    <w:rsid w:val="00554BD5"/>
    <w:rsid w:val="00555DDD"/>
    <w:rsid w:val="00556820"/>
    <w:rsid w:val="00557493"/>
    <w:rsid w:val="005576E1"/>
    <w:rsid w:val="005577D9"/>
    <w:rsid w:val="00557A7B"/>
    <w:rsid w:val="00557B78"/>
    <w:rsid w:val="00557E8D"/>
    <w:rsid w:val="00560108"/>
    <w:rsid w:val="00560350"/>
    <w:rsid w:val="00560989"/>
    <w:rsid w:val="00560E97"/>
    <w:rsid w:val="005619EA"/>
    <w:rsid w:val="00561DA8"/>
    <w:rsid w:val="00561E89"/>
    <w:rsid w:val="00562CB2"/>
    <w:rsid w:val="00562D9C"/>
    <w:rsid w:val="00563084"/>
    <w:rsid w:val="0056346A"/>
    <w:rsid w:val="00563F5F"/>
    <w:rsid w:val="00564634"/>
    <w:rsid w:val="005649E1"/>
    <w:rsid w:val="00564A94"/>
    <w:rsid w:val="00565841"/>
    <w:rsid w:val="00565A1A"/>
    <w:rsid w:val="005661F6"/>
    <w:rsid w:val="00566932"/>
    <w:rsid w:val="00566E80"/>
    <w:rsid w:val="00566F88"/>
    <w:rsid w:val="00567068"/>
    <w:rsid w:val="005671AF"/>
    <w:rsid w:val="00567353"/>
    <w:rsid w:val="00567523"/>
    <w:rsid w:val="005676EB"/>
    <w:rsid w:val="00570BF0"/>
    <w:rsid w:val="00570DD1"/>
    <w:rsid w:val="00571994"/>
    <w:rsid w:val="00571D6D"/>
    <w:rsid w:val="005722DC"/>
    <w:rsid w:val="0057281B"/>
    <w:rsid w:val="00572EF6"/>
    <w:rsid w:val="00572F46"/>
    <w:rsid w:val="00572F8B"/>
    <w:rsid w:val="0057320B"/>
    <w:rsid w:val="005733F7"/>
    <w:rsid w:val="00573A79"/>
    <w:rsid w:val="00573C32"/>
    <w:rsid w:val="0057406E"/>
    <w:rsid w:val="00574A02"/>
    <w:rsid w:val="00574B01"/>
    <w:rsid w:val="00574B77"/>
    <w:rsid w:val="0057576E"/>
    <w:rsid w:val="00575932"/>
    <w:rsid w:val="00576363"/>
    <w:rsid w:val="005764DE"/>
    <w:rsid w:val="005769EF"/>
    <w:rsid w:val="00576A54"/>
    <w:rsid w:val="00577073"/>
    <w:rsid w:val="005773A8"/>
    <w:rsid w:val="00577503"/>
    <w:rsid w:val="00577DC6"/>
    <w:rsid w:val="00580904"/>
    <w:rsid w:val="00580DFB"/>
    <w:rsid w:val="00580EBE"/>
    <w:rsid w:val="005816F4"/>
    <w:rsid w:val="00581906"/>
    <w:rsid w:val="00581BDF"/>
    <w:rsid w:val="00581F79"/>
    <w:rsid w:val="0058237D"/>
    <w:rsid w:val="005824DC"/>
    <w:rsid w:val="00582526"/>
    <w:rsid w:val="00582B42"/>
    <w:rsid w:val="00582B9A"/>
    <w:rsid w:val="00583257"/>
    <w:rsid w:val="005835EB"/>
    <w:rsid w:val="00585174"/>
    <w:rsid w:val="005858BB"/>
    <w:rsid w:val="00585A3F"/>
    <w:rsid w:val="00586D12"/>
    <w:rsid w:val="0058706C"/>
    <w:rsid w:val="0058741A"/>
    <w:rsid w:val="00587459"/>
    <w:rsid w:val="005875EA"/>
    <w:rsid w:val="00587A4A"/>
    <w:rsid w:val="00587B48"/>
    <w:rsid w:val="00587DFF"/>
    <w:rsid w:val="0059038C"/>
    <w:rsid w:val="00591A54"/>
    <w:rsid w:val="005921E2"/>
    <w:rsid w:val="00592836"/>
    <w:rsid w:val="00592E67"/>
    <w:rsid w:val="00593758"/>
    <w:rsid w:val="005944C7"/>
    <w:rsid w:val="00594732"/>
    <w:rsid w:val="00594E87"/>
    <w:rsid w:val="005950E5"/>
    <w:rsid w:val="00595477"/>
    <w:rsid w:val="00596425"/>
    <w:rsid w:val="0059674B"/>
    <w:rsid w:val="00596D33"/>
    <w:rsid w:val="00596EA4"/>
    <w:rsid w:val="0059708C"/>
    <w:rsid w:val="00597309"/>
    <w:rsid w:val="005976A0"/>
    <w:rsid w:val="005977ED"/>
    <w:rsid w:val="005979D1"/>
    <w:rsid w:val="00597C70"/>
    <w:rsid w:val="00597F05"/>
    <w:rsid w:val="005A035A"/>
    <w:rsid w:val="005A03AC"/>
    <w:rsid w:val="005A1408"/>
    <w:rsid w:val="005A14C2"/>
    <w:rsid w:val="005A1772"/>
    <w:rsid w:val="005A1CEC"/>
    <w:rsid w:val="005A2245"/>
    <w:rsid w:val="005A24AC"/>
    <w:rsid w:val="005A377B"/>
    <w:rsid w:val="005A3957"/>
    <w:rsid w:val="005A3DFD"/>
    <w:rsid w:val="005A4508"/>
    <w:rsid w:val="005A4A73"/>
    <w:rsid w:val="005A4CD3"/>
    <w:rsid w:val="005A4F4E"/>
    <w:rsid w:val="005A5095"/>
    <w:rsid w:val="005A6129"/>
    <w:rsid w:val="005A65C7"/>
    <w:rsid w:val="005A6B16"/>
    <w:rsid w:val="005A6F7C"/>
    <w:rsid w:val="005A708C"/>
    <w:rsid w:val="005A776C"/>
    <w:rsid w:val="005A7E04"/>
    <w:rsid w:val="005B0975"/>
    <w:rsid w:val="005B0A0A"/>
    <w:rsid w:val="005B0FAD"/>
    <w:rsid w:val="005B132F"/>
    <w:rsid w:val="005B1405"/>
    <w:rsid w:val="005B15EB"/>
    <w:rsid w:val="005B18B2"/>
    <w:rsid w:val="005B1A37"/>
    <w:rsid w:val="005B1B45"/>
    <w:rsid w:val="005B1D03"/>
    <w:rsid w:val="005B27CE"/>
    <w:rsid w:val="005B38E7"/>
    <w:rsid w:val="005B3BE2"/>
    <w:rsid w:val="005B40A6"/>
    <w:rsid w:val="005B4A11"/>
    <w:rsid w:val="005B6554"/>
    <w:rsid w:val="005B6845"/>
    <w:rsid w:val="005B75C6"/>
    <w:rsid w:val="005C0180"/>
    <w:rsid w:val="005C01B7"/>
    <w:rsid w:val="005C129A"/>
    <w:rsid w:val="005C180B"/>
    <w:rsid w:val="005C2440"/>
    <w:rsid w:val="005C2768"/>
    <w:rsid w:val="005C2788"/>
    <w:rsid w:val="005C2C21"/>
    <w:rsid w:val="005C31B9"/>
    <w:rsid w:val="005C3C36"/>
    <w:rsid w:val="005C43A5"/>
    <w:rsid w:val="005C4DE8"/>
    <w:rsid w:val="005C565F"/>
    <w:rsid w:val="005C5AFB"/>
    <w:rsid w:val="005C5B45"/>
    <w:rsid w:val="005C5EC0"/>
    <w:rsid w:val="005C6C6A"/>
    <w:rsid w:val="005C7219"/>
    <w:rsid w:val="005C72A8"/>
    <w:rsid w:val="005D12BA"/>
    <w:rsid w:val="005D2A79"/>
    <w:rsid w:val="005D2F23"/>
    <w:rsid w:val="005D3004"/>
    <w:rsid w:val="005D3BBC"/>
    <w:rsid w:val="005D3D39"/>
    <w:rsid w:val="005D504F"/>
    <w:rsid w:val="005D582D"/>
    <w:rsid w:val="005D58EF"/>
    <w:rsid w:val="005D688C"/>
    <w:rsid w:val="005D69CE"/>
    <w:rsid w:val="005D6C95"/>
    <w:rsid w:val="005D721B"/>
    <w:rsid w:val="005D7366"/>
    <w:rsid w:val="005D787E"/>
    <w:rsid w:val="005D7C39"/>
    <w:rsid w:val="005D7DA4"/>
    <w:rsid w:val="005E07C2"/>
    <w:rsid w:val="005E08C8"/>
    <w:rsid w:val="005E08E9"/>
    <w:rsid w:val="005E1076"/>
    <w:rsid w:val="005E10F9"/>
    <w:rsid w:val="005E13DF"/>
    <w:rsid w:val="005E18F1"/>
    <w:rsid w:val="005E1A82"/>
    <w:rsid w:val="005E1AB9"/>
    <w:rsid w:val="005E1B44"/>
    <w:rsid w:val="005E22C2"/>
    <w:rsid w:val="005E2940"/>
    <w:rsid w:val="005E31D8"/>
    <w:rsid w:val="005E3257"/>
    <w:rsid w:val="005E34D1"/>
    <w:rsid w:val="005E351E"/>
    <w:rsid w:val="005E387D"/>
    <w:rsid w:val="005E3970"/>
    <w:rsid w:val="005E3B75"/>
    <w:rsid w:val="005E3D15"/>
    <w:rsid w:val="005E43DB"/>
    <w:rsid w:val="005E45EC"/>
    <w:rsid w:val="005E4C65"/>
    <w:rsid w:val="005E4CC8"/>
    <w:rsid w:val="005E5054"/>
    <w:rsid w:val="005E5931"/>
    <w:rsid w:val="005E5BE8"/>
    <w:rsid w:val="005E5FDD"/>
    <w:rsid w:val="005E6887"/>
    <w:rsid w:val="005E6906"/>
    <w:rsid w:val="005E6BEC"/>
    <w:rsid w:val="005E7ADE"/>
    <w:rsid w:val="005E7AE7"/>
    <w:rsid w:val="005E7D8B"/>
    <w:rsid w:val="005F050E"/>
    <w:rsid w:val="005F1130"/>
    <w:rsid w:val="005F1431"/>
    <w:rsid w:val="005F1AF0"/>
    <w:rsid w:val="005F279E"/>
    <w:rsid w:val="005F27BC"/>
    <w:rsid w:val="005F2946"/>
    <w:rsid w:val="005F29DC"/>
    <w:rsid w:val="005F2C1E"/>
    <w:rsid w:val="005F3050"/>
    <w:rsid w:val="005F3306"/>
    <w:rsid w:val="005F34C6"/>
    <w:rsid w:val="005F37BF"/>
    <w:rsid w:val="005F40E3"/>
    <w:rsid w:val="005F41C2"/>
    <w:rsid w:val="005F423F"/>
    <w:rsid w:val="005F4318"/>
    <w:rsid w:val="005F4F6E"/>
    <w:rsid w:val="005F4F8E"/>
    <w:rsid w:val="005F54A4"/>
    <w:rsid w:val="005F56F0"/>
    <w:rsid w:val="005F5AD4"/>
    <w:rsid w:val="005F5DBA"/>
    <w:rsid w:val="005F5E0F"/>
    <w:rsid w:val="005F6BB0"/>
    <w:rsid w:val="005F6F41"/>
    <w:rsid w:val="005F7134"/>
    <w:rsid w:val="005F71D1"/>
    <w:rsid w:val="005F7A7C"/>
    <w:rsid w:val="005F7E49"/>
    <w:rsid w:val="0060035F"/>
    <w:rsid w:val="006013F9"/>
    <w:rsid w:val="006014CE"/>
    <w:rsid w:val="006018C2"/>
    <w:rsid w:val="006021D3"/>
    <w:rsid w:val="00602235"/>
    <w:rsid w:val="006026FB"/>
    <w:rsid w:val="006026FE"/>
    <w:rsid w:val="00602975"/>
    <w:rsid w:val="00603248"/>
    <w:rsid w:val="00603B0C"/>
    <w:rsid w:val="00603CF3"/>
    <w:rsid w:val="00604856"/>
    <w:rsid w:val="00605718"/>
    <w:rsid w:val="006059D4"/>
    <w:rsid w:val="00605BF2"/>
    <w:rsid w:val="00605C72"/>
    <w:rsid w:val="00605CC4"/>
    <w:rsid w:val="00606009"/>
    <w:rsid w:val="00606091"/>
    <w:rsid w:val="0060640D"/>
    <w:rsid w:val="006069A5"/>
    <w:rsid w:val="00606E40"/>
    <w:rsid w:val="00607205"/>
    <w:rsid w:val="00607270"/>
    <w:rsid w:val="006074E4"/>
    <w:rsid w:val="00607CB2"/>
    <w:rsid w:val="00607E0A"/>
    <w:rsid w:val="00607E91"/>
    <w:rsid w:val="00607EC8"/>
    <w:rsid w:val="006108C2"/>
    <w:rsid w:val="00610A13"/>
    <w:rsid w:val="00610B68"/>
    <w:rsid w:val="006112D1"/>
    <w:rsid w:val="006112FA"/>
    <w:rsid w:val="006113C1"/>
    <w:rsid w:val="00611588"/>
    <w:rsid w:val="00612AA5"/>
    <w:rsid w:val="00612B1B"/>
    <w:rsid w:val="00612D51"/>
    <w:rsid w:val="0061319F"/>
    <w:rsid w:val="0061368E"/>
    <w:rsid w:val="00613891"/>
    <w:rsid w:val="00613EFC"/>
    <w:rsid w:val="006141C3"/>
    <w:rsid w:val="00614720"/>
    <w:rsid w:val="006148A6"/>
    <w:rsid w:val="00615B28"/>
    <w:rsid w:val="00615F81"/>
    <w:rsid w:val="006169F6"/>
    <w:rsid w:val="00617298"/>
    <w:rsid w:val="00617545"/>
    <w:rsid w:val="006177F8"/>
    <w:rsid w:val="00620205"/>
    <w:rsid w:val="0062197F"/>
    <w:rsid w:val="006221E2"/>
    <w:rsid w:val="006225EB"/>
    <w:rsid w:val="00622856"/>
    <w:rsid w:val="00622D42"/>
    <w:rsid w:val="00622F63"/>
    <w:rsid w:val="00623402"/>
    <w:rsid w:val="00623E25"/>
    <w:rsid w:val="00624970"/>
    <w:rsid w:val="00624ACE"/>
    <w:rsid w:val="00624B34"/>
    <w:rsid w:val="006251E5"/>
    <w:rsid w:val="0062548F"/>
    <w:rsid w:val="006259E0"/>
    <w:rsid w:val="00625B93"/>
    <w:rsid w:val="00625E33"/>
    <w:rsid w:val="00626AD6"/>
    <w:rsid w:val="00626BBF"/>
    <w:rsid w:val="00626C57"/>
    <w:rsid w:val="006276E1"/>
    <w:rsid w:val="00627AA8"/>
    <w:rsid w:val="00627C27"/>
    <w:rsid w:val="00627EA9"/>
    <w:rsid w:val="006308E9"/>
    <w:rsid w:val="00630A42"/>
    <w:rsid w:val="00630B0B"/>
    <w:rsid w:val="00631B4A"/>
    <w:rsid w:val="006323DA"/>
    <w:rsid w:val="0063298C"/>
    <w:rsid w:val="00633563"/>
    <w:rsid w:val="00633AE9"/>
    <w:rsid w:val="00634A36"/>
    <w:rsid w:val="0063520B"/>
    <w:rsid w:val="00635666"/>
    <w:rsid w:val="006357F5"/>
    <w:rsid w:val="00635AA0"/>
    <w:rsid w:val="00635C4E"/>
    <w:rsid w:val="00635D56"/>
    <w:rsid w:val="00635ED1"/>
    <w:rsid w:val="00635FA3"/>
    <w:rsid w:val="00636271"/>
    <w:rsid w:val="006367BB"/>
    <w:rsid w:val="00636850"/>
    <w:rsid w:val="00637002"/>
    <w:rsid w:val="00637180"/>
    <w:rsid w:val="0063754A"/>
    <w:rsid w:val="006375DF"/>
    <w:rsid w:val="00637601"/>
    <w:rsid w:val="0063764E"/>
    <w:rsid w:val="00637FD1"/>
    <w:rsid w:val="006403D0"/>
    <w:rsid w:val="0064070F"/>
    <w:rsid w:val="00640CEE"/>
    <w:rsid w:val="00641689"/>
    <w:rsid w:val="006417A8"/>
    <w:rsid w:val="00642292"/>
    <w:rsid w:val="0064230A"/>
    <w:rsid w:val="006432DB"/>
    <w:rsid w:val="00643C5A"/>
    <w:rsid w:val="006443BB"/>
    <w:rsid w:val="00644FD6"/>
    <w:rsid w:val="00645C15"/>
    <w:rsid w:val="006462B3"/>
    <w:rsid w:val="00646780"/>
    <w:rsid w:val="006467A6"/>
    <w:rsid w:val="00646C84"/>
    <w:rsid w:val="00646DA4"/>
    <w:rsid w:val="00647035"/>
    <w:rsid w:val="006479FF"/>
    <w:rsid w:val="00647BAC"/>
    <w:rsid w:val="006502FA"/>
    <w:rsid w:val="0065037E"/>
    <w:rsid w:val="00652FFF"/>
    <w:rsid w:val="006534BF"/>
    <w:rsid w:val="00653D8D"/>
    <w:rsid w:val="00653FC3"/>
    <w:rsid w:val="00654269"/>
    <w:rsid w:val="00654AA9"/>
    <w:rsid w:val="00655245"/>
    <w:rsid w:val="006557B5"/>
    <w:rsid w:val="00655A79"/>
    <w:rsid w:val="00655BE0"/>
    <w:rsid w:val="00655D58"/>
    <w:rsid w:val="00655E9C"/>
    <w:rsid w:val="00656065"/>
    <w:rsid w:val="006565D9"/>
    <w:rsid w:val="006565EC"/>
    <w:rsid w:val="006574E9"/>
    <w:rsid w:val="00657CFF"/>
    <w:rsid w:val="006604E7"/>
    <w:rsid w:val="00660CA3"/>
    <w:rsid w:val="00660FDA"/>
    <w:rsid w:val="006617FD"/>
    <w:rsid w:val="00662B4F"/>
    <w:rsid w:val="00662BC9"/>
    <w:rsid w:val="00662C95"/>
    <w:rsid w:val="00662E0C"/>
    <w:rsid w:val="006637B7"/>
    <w:rsid w:val="00663F7E"/>
    <w:rsid w:val="0066429C"/>
    <w:rsid w:val="00664479"/>
    <w:rsid w:val="00664485"/>
    <w:rsid w:val="0066523F"/>
    <w:rsid w:val="00665285"/>
    <w:rsid w:val="006652F9"/>
    <w:rsid w:val="006656A8"/>
    <w:rsid w:val="00665DC1"/>
    <w:rsid w:val="00666087"/>
    <w:rsid w:val="00666579"/>
    <w:rsid w:val="00666A85"/>
    <w:rsid w:val="00666BA6"/>
    <w:rsid w:val="00666EDA"/>
    <w:rsid w:val="00667488"/>
    <w:rsid w:val="00667B22"/>
    <w:rsid w:val="00667C9B"/>
    <w:rsid w:val="00667D17"/>
    <w:rsid w:val="00670026"/>
    <w:rsid w:val="006707B2"/>
    <w:rsid w:val="006710C1"/>
    <w:rsid w:val="00671B96"/>
    <w:rsid w:val="00671E89"/>
    <w:rsid w:val="00672024"/>
    <w:rsid w:val="0067216F"/>
    <w:rsid w:val="006728BB"/>
    <w:rsid w:val="0067304E"/>
    <w:rsid w:val="00673284"/>
    <w:rsid w:val="006738D1"/>
    <w:rsid w:val="00674272"/>
    <w:rsid w:val="0067433B"/>
    <w:rsid w:val="006745E4"/>
    <w:rsid w:val="006745E5"/>
    <w:rsid w:val="00674719"/>
    <w:rsid w:val="00674755"/>
    <w:rsid w:val="00674CB8"/>
    <w:rsid w:val="00674E21"/>
    <w:rsid w:val="006766F9"/>
    <w:rsid w:val="00676BD9"/>
    <w:rsid w:val="006773D5"/>
    <w:rsid w:val="00677981"/>
    <w:rsid w:val="00677A0E"/>
    <w:rsid w:val="00677E49"/>
    <w:rsid w:val="006801A8"/>
    <w:rsid w:val="006802B5"/>
    <w:rsid w:val="006803CE"/>
    <w:rsid w:val="006805C6"/>
    <w:rsid w:val="00680983"/>
    <w:rsid w:val="00680DD4"/>
    <w:rsid w:val="00680DE5"/>
    <w:rsid w:val="00681181"/>
    <w:rsid w:val="006816AE"/>
    <w:rsid w:val="00681844"/>
    <w:rsid w:val="00681875"/>
    <w:rsid w:val="006819EE"/>
    <w:rsid w:val="00681F90"/>
    <w:rsid w:val="00682099"/>
    <w:rsid w:val="0068243D"/>
    <w:rsid w:val="00682BF1"/>
    <w:rsid w:val="00682C51"/>
    <w:rsid w:val="00683362"/>
    <w:rsid w:val="00683BCA"/>
    <w:rsid w:val="00684102"/>
    <w:rsid w:val="0068424F"/>
    <w:rsid w:val="006844D7"/>
    <w:rsid w:val="006849ED"/>
    <w:rsid w:val="00684BC3"/>
    <w:rsid w:val="0068506F"/>
    <w:rsid w:val="0068512C"/>
    <w:rsid w:val="00685A22"/>
    <w:rsid w:val="00685BAB"/>
    <w:rsid w:val="006860B4"/>
    <w:rsid w:val="006862D2"/>
    <w:rsid w:val="00686648"/>
    <w:rsid w:val="0068699F"/>
    <w:rsid w:val="00687E40"/>
    <w:rsid w:val="006908C6"/>
    <w:rsid w:val="00690FCC"/>
    <w:rsid w:val="00691406"/>
    <w:rsid w:val="0069152E"/>
    <w:rsid w:val="00693508"/>
    <w:rsid w:val="006936BE"/>
    <w:rsid w:val="0069376A"/>
    <w:rsid w:val="006943B9"/>
    <w:rsid w:val="006943CD"/>
    <w:rsid w:val="00694C56"/>
    <w:rsid w:val="00694D8A"/>
    <w:rsid w:val="00694DF0"/>
    <w:rsid w:val="00694F3D"/>
    <w:rsid w:val="0069515A"/>
    <w:rsid w:val="006951C9"/>
    <w:rsid w:val="00695617"/>
    <w:rsid w:val="006957CB"/>
    <w:rsid w:val="00696427"/>
    <w:rsid w:val="00697372"/>
    <w:rsid w:val="006A01B9"/>
    <w:rsid w:val="006A0287"/>
    <w:rsid w:val="006A0931"/>
    <w:rsid w:val="006A0A89"/>
    <w:rsid w:val="006A11C2"/>
    <w:rsid w:val="006A127D"/>
    <w:rsid w:val="006A1419"/>
    <w:rsid w:val="006A18B6"/>
    <w:rsid w:val="006A1EDC"/>
    <w:rsid w:val="006A2823"/>
    <w:rsid w:val="006A4226"/>
    <w:rsid w:val="006A4342"/>
    <w:rsid w:val="006A459E"/>
    <w:rsid w:val="006A45E3"/>
    <w:rsid w:val="006A51FF"/>
    <w:rsid w:val="006A534F"/>
    <w:rsid w:val="006A5693"/>
    <w:rsid w:val="006A570C"/>
    <w:rsid w:val="006A581A"/>
    <w:rsid w:val="006A5A48"/>
    <w:rsid w:val="006A5B0F"/>
    <w:rsid w:val="006A5B30"/>
    <w:rsid w:val="006A5B63"/>
    <w:rsid w:val="006A5ED6"/>
    <w:rsid w:val="006A5EF2"/>
    <w:rsid w:val="006A5FF3"/>
    <w:rsid w:val="006A68CC"/>
    <w:rsid w:val="006A6EE6"/>
    <w:rsid w:val="006A7E6D"/>
    <w:rsid w:val="006A7E7C"/>
    <w:rsid w:val="006B0AD5"/>
    <w:rsid w:val="006B0BFC"/>
    <w:rsid w:val="006B0F66"/>
    <w:rsid w:val="006B1677"/>
    <w:rsid w:val="006B20EE"/>
    <w:rsid w:val="006B255D"/>
    <w:rsid w:val="006B2D9C"/>
    <w:rsid w:val="006B3B98"/>
    <w:rsid w:val="006B4826"/>
    <w:rsid w:val="006B547B"/>
    <w:rsid w:val="006B579C"/>
    <w:rsid w:val="006B5B8D"/>
    <w:rsid w:val="006B6688"/>
    <w:rsid w:val="006B67E3"/>
    <w:rsid w:val="006B6B8D"/>
    <w:rsid w:val="006B7068"/>
    <w:rsid w:val="006B77C0"/>
    <w:rsid w:val="006C0BDC"/>
    <w:rsid w:val="006C1228"/>
    <w:rsid w:val="006C1614"/>
    <w:rsid w:val="006C1D8C"/>
    <w:rsid w:val="006C1DF4"/>
    <w:rsid w:val="006C22B5"/>
    <w:rsid w:val="006C2C68"/>
    <w:rsid w:val="006C325D"/>
    <w:rsid w:val="006C33D2"/>
    <w:rsid w:val="006C35D6"/>
    <w:rsid w:val="006C3969"/>
    <w:rsid w:val="006C43DE"/>
    <w:rsid w:val="006C4428"/>
    <w:rsid w:val="006C481F"/>
    <w:rsid w:val="006C51D5"/>
    <w:rsid w:val="006C62E0"/>
    <w:rsid w:val="006C6619"/>
    <w:rsid w:val="006C66E1"/>
    <w:rsid w:val="006C6F21"/>
    <w:rsid w:val="006C6F2B"/>
    <w:rsid w:val="006C7B3B"/>
    <w:rsid w:val="006D0492"/>
    <w:rsid w:val="006D0778"/>
    <w:rsid w:val="006D167C"/>
    <w:rsid w:val="006D1E49"/>
    <w:rsid w:val="006D2553"/>
    <w:rsid w:val="006D2663"/>
    <w:rsid w:val="006D33A4"/>
    <w:rsid w:val="006D39AB"/>
    <w:rsid w:val="006D3AE5"/>
    <w:rsid w:val="006D432E"/>
    <w:rsid w:val="006D43A8"/>
    <w:rsid w:val="006D458F"/>
    <w:rsid w:val="006D4DC6"/>
    <w:rsid w:val="006D551B"/>
    <w:rsid w:val="006D59D9"/>
    <w:rsid w:val="006D5A8D"/>
    <w:rsid w:val="006D5B0E"/>
    <w:rsid w:val="006D5DF8"/>
    <w:rsid w:val="006D60EE"/>
    <w:rsid w:val="006D611D"/>
    <w:rsid w:val="006D6BB7"/>
    <w:rsid w:val="006D6C89"/>
    <w:rsid w:val="006D6EBA"/>
    <w:rsid w:val="006E043A"/>
    <w:rsid w:val="006E0C89"/>
    <w:rsid w:val="006E15AD"/>
    <w:rsid w:val="006E1B6D"/>
    <w:rsid w:val="006E1CF4"/>
    <w:rsid w:val="006E2CB5"/>
    <w:rsid w:val="006E3106"/>
    <w:rsid w:val="006E3684"/>
    <w:rsid w:val="006E4101"/>
    <w:rsid w:val="006E4894"/>
    <w:rsid w:val="006E4D33"/>
    <w:rsid w:val="006E528E"/>
    <w:rsid w:val="006E560D"/>
    <w:rsid w:val="006E59A3"/>
    <w:rsid w:val="006E6044"/>
    <w:rsid w:val="006E619E"/>
    <w:rsid w:val="006E7387"/>
    <w:rsid w:val="006E764B"/>
    <w:rsid w:val="006F031F"/>
    <w:rsid w:val="006F08A9"/>
    <w:rsid w:val="006F0AFA"/>
    <w:rsid w:val="006F0F55"/>
    <w:rsid w:val="006F1B52"/>
    <w:rsid w:val="006F27A6"/>
    <w:rsid w:val="006F2AB3"/>
    <w:rsid w:val="006F2EB7"/>
    <w:rsid w:val="006F339A"/>
    <w:rsid w:val="006F38C5"/>
    <w:rsid w:val="006F39A4"/>
    <w:rsid w:val="006F417C"/>
    <w:rsid w:val="006F41BB"/>
    <w:rsid w:val="006F42DE"/>
    <w:rsid w:val="006F4871"/>
    <w:rsid w:val="006F5119"/>
    <w:rsid w:val="006F52F7"/>
    <w:rsid w:val="006F52F8"/>
    <w:rsid w:val="006F545F"/>
    <w:rsid w:val="006F5DFC"/>
    <w:rsid w:val="006F6260"/>
    <w:rsid w:val="006F65AF"/>
    <w:rsid w:val="006F65E1"/>
    <w:rsid w:val="006F7822"/>
    <w:rsid w:val="007006FA"/>
    <w:rsid w:val="00700ADB"/>
    <w:rsid w:val="007014ED"/>
    <w:rsid w:val="007016A4"/>
    <w:rsid w:val="00701E99"/>
    <w:rsid w:val="00702221"/>
    <w:rsid w:val="0070287E"/>
    <w:rsid w:val="0070543A"/>
    <w:rsid w:val="00705B33"/>
    <w:rsid w:val="00705E34"/>
    <w:rsid w:val="0070615E"/>
    <w:rsid w:val="00706BD8"/>
    <w:rsid w:val="00706C4B"/>
    <w:rsid w:val="00710A20"/>
    <w:rsid w:val="00710A58"/>
    <w:rsid w:val="00710B63"/>
    <w:rsid w:val="00710FC6"/>
    <w:rsid w:val="007116AC"/>
    <w:rsid w:val="00711CE1"/>
    <w:rsid w:val="00711CF8"/>
    <w:rsid w:val="00711D71"/>
    <w:rsid w:val="007124A2"/>
    <w:rsid w:val="007129B3"/>
    <w:rsid w:val="00712ED5"/>
    <w:rsid w:val="007133ED"/>
    <w:rsid w:val="00714F41"/>
    <w:rsid w:val="00715333"/>
    <w:rsid w:val="00715A2B"/>
    <w:rsid w:val="00715C57"/>
    <w:rsid w:val="00715CF9"/>
    <w:rsid w:val="00716836"/>
    <w:rsid w:val="00717077"/>
    <w:rsid w:val="00717EE8"/>
    <w:rsid w:val="00720839"/>
    <w:rsid w:val="00720CBF"/>
    <w:rsid w:val="0072161C"/>
    <w:rsid w:val="00721943"/>
    <w:rsid w:val="00721EBF"/>
    <w:rsid w:val="00722302"/>
    <w:rsid w:val="00722523"/>
    <w:rsid w:val="00722EDC"/>
    <w:rsid w:val="007230D6"/>
    <w:rsid w:val="0072310E"/>
    <w:rsid w:val="007238BF"/>
    <w:rsid w:val="00723E4B"/>
    <w:rsid w:val="00723E6A"/>
    <w:rsid w:val="00723F00"/>
    <w:rsid w:val="00724397"/>
    <w:rsid w:val="00724553"/>
    <w:rsid w:val="0072477D"/>
    <w:rsid w:val="00725108"/>
    <w:rsid w:val="00725334"/>
    <w:rsid w:val="0072563F"/>
    <w:rsid w:val="00725795"/>
    <w:rsid w:val="007265BA"/>
    <w:rsid w:val="007269FC"/>
    <w:rsid w:val="007270E3"/>
    <w:rsid w:val="00727456"/>
    <w:rsid w:val="00727E48"/>
    <w:rsid w:val="007302BF"/>
    <w:rsid w:val="0073044E"/>
    <w:rsid w:val="0073094D"/>
    <w:rsid w:val="00730A33"/>
    <w:rsid w:val="00731EBA"/>
    <w:rsid w:val="0073238A"/>
    <w:rsid w:val="007327C0"/>
    <w:rsid w:val="00732CFA"/>
    <w:rsid w:val="00732D6A"/>
    <w:rsid w:val="00732E2C"/>
    <w:rsid w:val="00732FBA"/>
    <w:rsid w:val="007330C5"/>
    <w:rsid w:val="00733398"/>
    <w:rsid w:val="00733A6D"/>
    <w:rsid w:val="00733B27"/>
    <w:rsid w:val="00734122"/>
    <w:rsid w:val="00734468"/>
    <w:rsid w:val="00734AF8"/>
    <w:rsid w:val="00734EBA"/>
    <w:rsid w:val="007356A7"/>
    <w:rsid w:val="00735CCE"/>
    <w:rsid w:val="00735ECF"/>
    <w:rsid w:val="00735F6C"/>
    <w:rsid w:val="007361F4"/>
    <w:rsid w:val="007364AD"/>
    <w:rsid w:val="007368A2"/>
    <w:rsid w:val="00736BF9"/>
    <w:rsid w:val="00736DE9"/>
    <w:rsid w:val="00737635"/>
    <w:rsid w:val="00737706"/>
    <w:rsid w:val="00737BA0"/>
    <w:rsid w:val="00740F68"/>
    <w:rsid w:val="00740F6A"/>
    <w:rsid w:val="00741043"/>
    <w:rsid w:val="00742439"/>
    <w:rsid w:val="00742A46"/>
    <w:rsid w:val="00743A10"/>
    <w:rsid w:val="00743BC1"/>
    <w:rsid w:val="00744781"/>
    <w:rsid w:val="00744D01"/>
    <w:rsid w:val="00744EBB"/>
    <w:rsid w:val="007465A9"/>
    <w:rsid w:val="007479D6"/>
    <w:rsid w:val="00747B9D"/>
    <w:rsid w:val="00750039"/>
    <w:rsid w:val="00750C5D"/>
    <w:rsid w:val="00751119"/>
    <w:rsid w:val="00751282"/>
    <w:rsid w:val="00751C7B"/>
    <w:rsid w:val="007520F6"/>
    <w:rsid w:val="007523BE"/>
    <w:rsid w:val="00752BEB"/>
    <w:rsid w:val="007530CB"/>
    <w:rsid w:val="00753E0F"/>
    <w:rsid w:val="00754A0D"/>
    <w:rsid w:val="00754CCC"/>
    <w:rsid w:val="007552C1"/>
    <w:rsid w:val="007554E1"/>
    <w:rsid w:val="007559A6"/>
    <w:rsid w:val="00755D77"/>
    <w:rsid w:val="007562E2"/>
    <w:rsid w:val="00756893"/>
    <w:rsid w:val="007568EC"/>
    <w:rsid w:val="007577C2"/>
    <w:rsid w:val="007577CA"/>
    <w:rsid w:val="007579F1"/>
    <w:rsid w:val="00757E40"/>
    <w:rsid w:val="00757F99"/>
    <w:rsid w:val="00757F9C"/>
    <w:rsid w:val="0076040B"/>
    <w:rsid w:val="00760679"/>
    <w:rsid w:val="00760950"/>
    <w:rsid w:val="00760E0D"/>
    <w:rsid w:val="00760E1C"/>
    <w:rsid w:val="00761895"/>
    <w:rsid w:val="00761ECF"/>
    <w:rsid w:val="00762093"/>
    <w:rsid w:val="0076227A"/>
    <w:rsid w:val="0076295B"/>
    <w:rsid w:val="00762E07"/>
    <w:rsid w:val="00762F2B"/>
    <w:rsid w:val="0076328E"/>
    <w:rsid w:val="00764E21"/>
    <w:rsid w:val="0076561E"/>
    <w:rsid w:val="007656DC"/>
    <w:rsid w:val="007661B0"/>
    <w:rsid w:val="007664EC"/>
    <w:rsid w:val="007666AE"/>
    <w:rsid w:val="007667C9"/>
    <w:rsid w:val="0076754E"/>
    <w:rsid w:val="007677AD"/>
    <w:rsid w:val="007729DF"/>
    <w:rsid w:val="00773353"/>
    <w:rsid w:val="0077406B"/>
    <w:rsid w:val="007742F9"/>
    <w:rsid w:val="00774428"/>
    <w:rsid w:val="0077499D"/>
    <w:rsid w:val="00774CB0"/>
    <w:rsid w:val="00774CC7"/>
    <w:rsid w:val="00774F40"/>
    <w:rsid w:val="00774F83"/>
    <w:rsid w:val="00775B12"/>
    <w:rsid w:val="00775DE5"/>
    <w:rsid w:val="0077626A"/>
    <w:rsid w:val="00776731"/>
    <w:rsid w:val="0077732A"/>
    <w:rsid w:val="00777CB0"/>
    <w:rsid w:val="00777D5B"/>
    <w:rsid w:val="00777D77"/>
    <w:rsid w:val="0078019D"/>
    <w:rsid w:val="0078061F"/>
    <w:rsid w:val="00780A45"/>
    <w:rsid w:val="00781150"/>
    <w:rsid w:val="007817B3"/>
    <w:rsid w:val="00781B0D"/>
    <w:rsid w:val="00781BD5"/>
    <w:rsid w:val="007829B3"/>
    <w:rsid w:val="007835A3"/>
    <w:rsid w:val="00783842"/>
    <w:rsid w:val="00783E67"/>
    <w:rsid w:val="00784D8D"/>
    <w:rsid w:val="007858D9"/>
    <w:rsid w:val="00785EA2"/>
    <w:rsid w:val="00786379"/>
    <w:rsid w:val="00786427"/>
    <w:rsid w:val="007876E3"/>
    <w:rsid w:val="00787981"/>
    <w:rsid w:val="00790B51"/>
    <w:rsid w:val="00790C55"/>
    <w:rsid w:val="00791225"/>
    <w:rsid w:val="0079192A"/>
    <w:rsid w:val="00791D73"/>
    <w:rsid w:val="00791F75"/>
    <w:rsid w:val="00792759"/>
    <w:rsid w:val="007928AD"/>
    <w:rsid w:val="00792E84"/>
    <w:rsid w:val="007931EF"/>
    <w:rsid w:val="007932CB"/>
    <w:rsid w:val="00793896"/>
    <w:rsid w:val="00793AAD"/>
    <w:rsid w:val="00793FC0"/>
    <w:rsid w:val="007943F5"/>
    <w:rsid w:val="00794454"/>
    <w:rsid w:val="00794724"/>
    <w:rsid w:val="00794E21"/>
    <w:rsid w:val="007954B5"/>
    <w:rsid w:val="00795F50"/>
    <w:rsid w:val="00796DD0"/>
    <w:rsid w:val="00797008"/>
    <w:rsid w:val="00797136"/>
    <w:rsid w:val="00797A18"/>
    <w:rsid w:val="007A0174"/>
    <w:rsid w:val="007A0BB2"/>
    <w:rsid w:val="007A1136"/>
    <w:rsid w:val="007A198D"/>
    <w:rsid w:val="007A2B48"/>
    <w:rsid w:val="007A2C30"/>
    <w:rsid w:val="007A311A"/>
    <w:rsid w:val="007A34FA"/>
    <w:rsid w:val="007A3784"/>
    <w:rsid w:val="007A3B26"/>
    <w:rsid w:val="007A411B"/>
    <w:rsid w:val="007A46F9"/>
    <w:rsid w:val="007A4D04"/>
    <w:rsid w:val="007A5131"/>
    <w:rsid w:val="007A6C41"/>
    <w:rsid w:val="007A6DDA"/>
    <w:rsid w:val="007A7157"/>
    <w:rsid w:val="007B0310"/>
    <w:rsid w:val="007B0F61"/>
    <w:rsid w:val="007B1344"/>
    <w:rsid w:val="007B1DBD"/>
    <w:rsid w:val="007B1E04"/>
    <w:rsid w:val="007B22D1"/>
    <w:rsid w:val="007B240D"/>
    <w:rsid w:val="007B2EE0"/>
    <w:rsid w:val="007B31D0"/>
    <w:rsid w:val="007B32A7"/>
    <w:rsid w:val="007B3ECC"/>
    <w:rsid w:val="007B4019"/>
    <w:rsid w:val="007B4744"/>
    <w:rsid w:val="007B4BDA"/>
    <w:rsid w:val="007B66A0"/>
    <w:rsid w:val="007B6C74"/>
    <w:rsid w:val="007B6E35"/>
    <w:rsid w:val="007B6E4E"/>
    <w:rsid w:val="007B71E9"/>
    <w:rsid w:val="007C04A6"/>
    <w:rsid w:val="007C069B"/>
    <w:rsid w:val="007C0AA9"/>
    <w:rsid w:val="007C0C05"/>
    <w:rsid w:val="007C0F22"/>
    <w:rsid w:val="007C1308"/>
    <w:rsid w:val="007C1702"/>
    <w:rsid w:val="007C1769"/>
    <w:rsid w:val="007C195E"/>
    <w:rsid w:val="007C21F0"/>
    <w:rsid w:val="007C41D1"/>
    <w:rsid w:val="007C46CD"/>
    <w:rsid w:val="007C46F5"/>
    <w:rsid w:val="007C4823"/>
    <w:rsid w:val="007C48C7"/>
    <w:rsid w:val="007C4A06"/>
    <w:rsid w:val="007C5083"/>
    <w:rsid w:val="007C51E3"/>
    <w:rsid w:val="007C54F5"/>
    <w:rsid w:val="007C56F1"/>
    <w:rsid w:val="007C69D6"/>
    <w:rsid w:val="007C6D56"/>
    <w:rsid w:val="007C7759"/>
    <w:rsid w:val="007D0A62"/>
    <w:rsid w:val="007D0AC0"/>
    <w:rsid w:val="007D1FE1"/>
    <w:rsid w:val="007D2CEB"/>
    <w:rsid w:val="007D3591"/>
    <w:rsid w:val="007D49E1"/>
    <w:rsid w:val="007D5189"/>
    <w:rsid w:val="007D5478"/>
    <w:rsid w:val="007D65FE"/>
    <w:rsid w:val="007D6683"/>
    <w:rsid w:val="007D692E"/>
    <w:rsid w:val="007D76BA"/>
    <w:rsid w:val="007E09F8"/>
    <w:rsid w:val="007E114F"/>
    <w:rsid w:val="007E3101"/>
    <w:rsid w:val="007E5102"/>
    <w:rsid w:val="007E539B"/>
    <w:rsid w:val="007E60F9"/>
    <w:rsid w:val="007E6167"/>
    <w:rsid w:val="007E6729"/>
    <w:rsid w:val="007E67BA"/>
    <w:rsid w:val="007E6FE7"/>
    <w:rsid w:val="007E7406"/>
    <w:rsid w:val="007E74C5"/>
    <w:rsid w:val="007E77AB"/>
    <w:rsid w:val="007E7A3C"/>
    <w:rsid w:val="007F03CD"/>
    <w:rsid w:val="007F0540"/>
    <w:rsid w:val="007F07F5"/>
    <w:rsid w:val="007F084F"/>
    <w:rsid w:val="007F0944"/>
    <w:rsid w:val="007F0E34"/>
    <w:rsid w:val="007F1231"/>
    <w:rsid w:val="007F181C"/>
    <w:rsid w:val="007F2212"/>
    <w:rsid w:val="007F32C6"/>
    <w:rsid w:val="007F3725"/>
    <w:rsid w:val="007F3849"/>
    <w:rsid w:val="007F3989"/>
    <w:rsid w:val="007F3A08"/>
    <w:rsid w:val="007F3CCA"/>
    <w:rsid w:val="007F4B7F"/>
    <w:rsid w:val="007F54B7"/>
    <w:rsid w:val="007F5B98"/>
    <w:rsid w:val="007F5E1F"/>
    <w:rsid w:val="007F5E3F"/>
    <w:rsid w:val="007F60CA"/>
    <w:rsid w:val="007F6368"/>
    <w:rsid w:val="007F7B7F"/>
    <w:rsid w:val="007F7D0F"/>
    <w:rsid w:val="007F7DAF"/>
    <w:rsid w:val="007F7E97"/>
    <w:rsid w:val="007F7F80"/>
    <w:rsid w:val="00800731"/>
    <w:rsid w:val="00800766"/>
    <w:rsid w:val="008009CB"/>
    <w:rsid w:val="00801976"/>
    <w:rsid w:val="00801F5E"/>
    <w:rsid w:val="008038B8"/>
    <w:rsid w:val="00803CEA"/>
    <w:rsid w:val="0080430F"/>
    <w:rsid w:val="008043DE"/>
    <w:rsid w:val="00804420"/>
    <w:rsid w:val="008047F8"/>
    <w:rsid w:val="0080498D"/>
    <w:rsid w:val="00805099"/>
    <w:rsid w:val="00806003"/>
    <w:rsid w:val="0080603B"/>
    <w:rsid w:val="0080606A"/>
    <w:rsid w:val="00806119"/>
    <w:rsid w:val="008065F0"/>
    <w:rsid w:val="00806830"/>
    <w:rsid w:val="00806CE2"/>
    <w:rsid w:val="00806FD7"/>
    <w:rsid w:val="008075D2"/>
    <w:rsid w:val="00807C2F"/>
    <w:rsid w:val="00810B67"/>
    <w:rsid w:val="00810F94"/>
    <w:rsid w:val="0081141C"/>
    <w:rsid w:val="00811799"/>
    <w:rsid w:val="00811AA7"/>
    <w:rsid w:val="00811F4E"/>
    <w:rsid w:val="008120FB"/>
    <w:rsid w:val="008129C6"/>
    <w:rsid w:val="00812E0A"/>
    <w:rsid w:val="0081352B"/>
    <w:rsid w:val="00813D55"/>
    <w:rsid w:val="008140C1"/>
    <w:rsid w:val="00814514"/>
    <w:rsid w:val="008152DF"/>
    <w:rsid w:val="00815DF9"/>
    <w:rsid w:val="00815E6D"/>
    <w:rsid w:val="008166AA"/>
    <w:rsid w:val="008168A8"/>
    <w:rsid w:val="008172DD"/>
    <w:rsid w:val="0082033B"/>
    <w:rsid w:val="00820A31"/>
    <w:rsid w:val="00820AE9"/>
    <w:rsid w:val="008225DB"/>
    <w:rsid w:val="008237E2"/>
    <w:rsid w:val="00823FDB"/>
    <w:rsid w:val="008242B1"/>
    <w:rsid w:val="00824E47"/>
    <w:rsid w:val="00824F67"/>
    <w:rsid w:val="00825363"/>
    <w:rsid w:val="00825579"/>
    <w:rsid w:val="008255E4"/>
    <w:rsid w:val="00825601"/>
    <w:rsid w:val="0082585B"/>
    <w:rsid w:val="0082629C"/>
    <w:rsid w:val="00826553"/>
    <w:rsid w:val="00826C3F"/>
    <w:rsid w:val="008270BF"/>
    <w:rsid w:val="00827758"/>
    <w:rsid w:val="00827787"/>
    <w:rsid w:val="00827914"/>
    <w:rsid w:val="008279CC"/>
    <w:rsid w:val="00827BAD"/>
    <w:rsid w:val="00830639"/>
    <w:rsid w:val="0083081D"/>
    <w:rsid w:val="008309C9"/>
    <w:rsid w:val="00830BC7"/>
    <w:rsid w:val="008318FB"/>
    <w:rsid w:val="008323CF"/>
    <w:rsid w:val="0083323E"/>
    <w:rsid w:val="00833497"/>
    <w:rsid w:val="008335E3"/>
    <w:rsid w:val="0083386A"/>
    <w:rsid w:val="008338A9"/>
    <w:rsid w:val="00833E2F"/>
    <w:rsid w:val="00834861"/>
    <w:rsid w:val="00834DCB"/>
    <w:rsid w:val="00835233"/>
    <w:rsid w:val="00835BA0"/>
    <w:rsid w:val="00836673"/>
    <w:rsid w:val="008366AC"/>
    <w:rsid w:val="008366F1"/>
    <w:rsid w:val="00836C22"/>
    <w:rsid w:val="00836F56"/>
    <w:rsid w:val="00837039"/>
    <w:rsid w:val="00837F07"/>
    <w:rsid w:val="00837FA8"/>
    <w:rsid w:val="00840C01"/>
    <w:rsid w:val="00840C42"/>
    <w:rsid w:val="00840D2A"/>
    <w:rsid w:val="00840E3B"/>
    <w:rsid w:val="0084167C"/>
    <w:rsid w:val="00841A63"/>
    <w:rsid w:val="00841FD8"/>
    <w:rsid w:val="0084210D"/>
    <w:rsid w:val="00842311"/>
    <w:rsid w:val="008425D8"/>
    <w:rsid w:val="0084299F"/>
    <w:rsid w:val="00842ABC"/>
    <w:rsid w:val="00843E9A"/>
    <w:rsid w:val="008449AA"/>
    <w:rsid w:val="00844E38"/>
    <w:rsid w:val="00844F10"/>
    <w:rsid w:val="00845186"/>
    <w:rsid w:val="00845BBC"/>
    <w:rsid w:val="00845E25"/>
    <w:rsid w:val="00846320"/>
    <w:rsid w:val="00847905"/>
    <w:rsid w:val="00847E17"/>
    <w:rsid w:val="00847F2B"/>
    <w:rsid w:val="00847FE6"/>
    <w:rsid w:val="00850048"/>
    <w:rsid w:val="0085064E"/>
    <w:rsid w:val="00850FDA"/>
    <w:rsid w:val="0085136D"/>
    <w:rsid w:val="008513D8"/>
    <w:rsid w:val="0085191F"/>
    <w:rsid w:val="00851964"/>
    <w:rsid w:val="00852327"/>
    <w:rsid w:val="00852395"/>
    <w:rsid w:val="008523D7"/>
    <w:rsid w:val="00852C25"/>
    <w:rsid w:val="00852F76"/>
    <w:rsid w:val="008537F7"/>
    <w:rsid w:val="008542F0"/>
    <w:rsid w:val="00854344"/>
    <w:rsid w:val="008543EC"/>
    <w:rsid w:val="0085491C"/>
    <w:rsid w:val="00854A47"/>
    <w:rsid w:val="00854A53"/>
    <w:rsid w:val="008552C1"/>
    <w:rsid w:val="008558AA"/>
    <w:rsid w:val="00855D43"/>
    <w:rsid w:val="008561D7"/>
    <w:rsid w:val="00856BD2"/>
    <w:rsid w:val="00856C6C"/>
    <w:rsid w:val="0085710F"/>
    <w:rsid w:val="008572A0"/>
    <w:rsid w:val="008607B4"/>
    <w:rsid w:val="00860B22"/>
    <w:rsid w:val="00860BAC"/>
    <w:rsid w:val="00860FE7"/>
    <w:rsid w:val="00861074"/>
    <w:rsid w:val="008613AD"/>
    <w:rsid w:val="00861B54"/>
    <w:rsid w:val="00861BC3"/>
    <w:rsid w:val="00862781"/>
    <w:rsid w:val="00862BE4"/>
    <w:rsid w:val="0086350F"/>
    <w:rsid w:val="008636FC"/>
    <w:rsid w:val="00863DB6"/>
    <w:rsid w:val="0086454D"/>
    <w:rsid w:val="0086586A"/>
    <w:rsid w:val="00865B86"/>
    <w:rsid w:val="00865B99"/>
    <w:rsid w:val="00866048"/>
    <w:rsid w:val="00866135"/>
    <w:rsid w:val="00866288"/>
    <w:rsid w:val="00866798"/>
    <w:rsid w:val="008670BB"/>
    <w:rsid w:val="0086739D"/>
    <w:rsid w:val="0086755F"/>
    <w:rsid w:val="0086766A"/>
    <w:rsid w:val="0086766B"/>
    <w:rsid w:val="0086786B"/>
    <w:rsid w:val="008678C4"/>
    <w:rsid w:val="00870354"/>
    <w:rsid w:val="00870368"/>
    <w:rsid w:val="00870E07"/>
    <w:rsid w:val="00870E08"/>
    <w:rsid w:val="00871164"/>
    <w:rsid w:val="00871DAD"/>
    <w:rsid w:val="00872AE5"/>
    <w:rsid w:val="00872F95"/>
    <w:rsid w:val="008730FE"/>
    <w:rsid w:val="0087312B"/>
    <w:rsid w:val="00873BC6"/>
    <w:rsid w:val="00873D24"/>
    <w:rsid w:val="008746C1"/>
    <w:rsid w:val="00874898"/>
    <w:rsid w:val="00874FB1"/>
    <w:rsid w:val="0087512E"/>
    <w:rsid w:val="0087550A"/>
    <w:rsid w:val="00875511"/>
    <w:rsid w:val="008771F4"/>
    <w:rsid w:val="0087720A"/>
    <w:rsid w:val="00880902"/>
    <w:rsid w:val="00880C19"/>
    <w:rsid w:val="00880FFC"/>
    <w:rsid w:val="00881788"/>
    <w:rsid w:val="00881E3C"/>
    <w:rsid w:val="00882D45"/>
    <w:rsid w:val="008838CE"/>
    <w:rsid w:val="00885146"/>
    <w:rsid w:val="00885A96"/>
    <w:rsid w:val="00885AE0"/>
    <w:rsid w:val="00886141"/>
    <w:rsid w:val="008861F1"/>
    <w:rsid w:val="0088740E"/>
    <w:rsid w:val="00887BF2"/>
    <w:rsid w:val="00887ED8"/>
    <w:rsid w:val="00890353"/>
    <w:rsid w:val="00890AD8"/>
    <w:rsid w:val="00890C99"/>
    <w:rsid w:val="008919B2"/>
    <w:rsid w:val="008919FF"/>
    <w:rsid w:val="00891A09"/>
    <w:rsid w:val="0089249A"/>
    <w:rsid w:val="00892A4E"/>
    <w:rsid w:val="0089360B"/>
    <w:rsid w:val="00894510"/>
    <w:rsid w:val="008948E3"/>
    <w:rsid w:val="00894A27"/>
    <w:rsid w:val="00894C65"/>
    <w:rsid w:val="00894F1C"/>
    <w:rsid w:val="0089549C"/>
    <w:rsid w:val="00895515"/>
    <w:rsid w:val="00895D3E"/>
    <w:rsid w:val="0089686F"/>
    <w:rsid w:val="00896A4C"/>
    <w:rsid w:val="00896B84"/>
    <w:rsid w:val="00896EBA"/>
    <w:rsid w:val="00896F1D"/>
    <w:rsid w:val="00897388"/>
    <w:rsid w:val="008973DC"/>
    <w:rsid w:val="008975CB"/>
    <w:rsid w:val="0089797F"/>
    <w:rsid w:val="008A23C9"/>
    <w:rsid w:val="008A2CEE"/>
    <w:rsid w:val="008A2E4F"/>
    <w:rsid w:val="008A2FF2"/>
    <w:rsid w:val="008A39F8"/>
    <w:rsid w:val="008A3DFA"/>
    <w:rsid w:val="008A3FA3"/>
    <w:rsid w:val="008A4BEF"/>
    <w:rsid w:val="008A4E64"/>
    <w:rsid w:val="008A5B38"/>
    <w:rsid w:val="008A6431"/>
    <w:rsid w:val="008A6B9F"/>
    <w:rsid w:val="008A730B"/>
    <w:rsid w:val="008A739B"/>
    <w:rsid w:val="008A77D4"/>
    <w:rsid w:val="008A7AE5"/>
    <w:rsid w:val="008A7D38"/>
    <w:rsid w:val="008B02E6"/>
    <w:rsid w:val="008B0932"/>
    <w:rsid w:val="008B0B3A"/>
    <w:rsid w:val="008B1C86"/>
    <w:rsid w:val="008B1F7D"/>
    <w:rsid w:val="008B265C"/>
    <w:rsid w:val="008B2764"/>
    <w:rsid w:val="008B32A9"/>
    <w:rsid w:val="008B3490"/>
    <w:rsid w:val="008B35D5"/>
    <w:rsid w:val="008B36CD"/>
    <w:rsid w:val="008B3ACB"/>
    <w:rsid w:val="008B4268"/>
    <w:rsid w:val="008B54EF"/>
    <w:rsid w:val="008B57BF"/>
    <w:rsid w:val="008B7634"/>
    <w:rsid w:val="008B7A20"/>
    <w:rsid w:val="008C0083"/>
    <w:rsid w:val="008C03CF"/>
    <w:rsid w:val="008C156C"/>
    <w:rsid w:val="008C1C8B"/>
    <w:rsid w:val="008C2C23"/>
    <w:rsid w:val="008C2EDB"/>
    <w:rsid w:val="008C35A0"/>
    <w:rsid w:val="008C44D7"/>
    <w:rsid w:val="008C458F"/>
    <w:rsid w:val="008C52E9"/>
    <w:rsid w:val="008C60B5"/>
    <w:rsid w:val="008C623E"/>
    <w:rsid w:val="008C6959"/>
    <w:rsid w:val="008C6C9A"/>
    <w:rsid w:val="008C701E"/>
    <w:rsid w:val="008C79A2"/>
    <w:rsid w:val="008C79FA"/>
    <w:rsid w:val="008C7DBD"/>
    <w:rsid w:val="008D0C2E"/>
    <w:rsid w:val="008D1281"/>
    <w:rsid w:val="008D132B"/>
    <w:rsid w:val="008D15E8"/>
    <w:rsid w:val="008D1B64"/>
    <w:rsid w:val="008D2426"/>
    <w:rsid w:val="008D3055"/>
    <w:rsid w:val="008D383B"/>
    <w:rsid w:val="008D40C7"/>
    <w:rsid w:val="008D4162"/>
    <w:rsid w:val="008D4E54"/>
    <w:rsid w:val="008D4FA9"/>
    <w:rsid w:val="008D514B"/>
    <w:rsid w:val="008D5588"/>
    <w:rsid w:val="008D5786"/>
    <w:rsid w:val="008D5C53"/>
    <w:rsid w:val="008D5CB1"/>
    <w:rsid w:val="008D5EC2"/>
    <w:rsid w:val="008D6AB5"/>
    <w:rsid w:val="008D7321"/>
    <w:rsid w:val="008D7EF2"/>
    <w:rsid w:val="008E052C"/>
    <w:rsid w:val="008E129D"/>
    <w:rsid w:val="008E18C3"/>
    <w:rsid w:val="008E1B4F"/>
    <w:rsid w:val="008E1EDD"/>
    <w:rsid w:val="008E237B"/>
    <w:rsid w:val="008E2E10"/>
    <w:rsid w:val="008E3615"/>
    <w:rsid w:val="008E3CC3"/>
    <w:rsid w:val="008E4C89"/>
    <w:rsid w:val="008E4E9F"/>
    <w:rsid w:val="008E51AF"/>
    <w:rsid w:val="008E5388"/>
    <w:rsid w:val="008E548A"/>
    <w:rsid w:val="008E5763"/>
    <w:rsid w:val="008E5BE8"/>
    <w:rsid w:val="008E5FCD"/>
    <w:rsid w:val="008E6BCD"/>
    <w:rsid w:val="008E72A5"/>
    <w:rsid w:val="008E74A2"/>
    <w:rsid w:val="008E75B4"/>
    <w:rsid w:val="008E7747"/>
    <w:rsid w:val="008F0529"/>
    <w:rsid w:val="008F06A3"/>
    <w:rsid w:val="008F0723"/>
    <w:rsid w:val="008F0C02"/>
    <w:rsid w:val="008F0C3D"/>
    <w:rsid w:val="008F1228"/>
    <w:rsid w:val="008F139F"/>
    <w:rsid w:val="008F1556"/>
    <w:rsid w:val="008F16F1"/>
    <w:rsid w:val="008F23F5"/>
    <w:rsid w:val="008F24D6"/>
    <w:rsid w:val="008F2657"/>
    <w:rsid w:val="008F2A23"/>
    <w:rsid w:val="008F2A92"/>
    <w:rsid w:val="008F2F10"/>
    <w:rsid w:val="008F3856"/>
    <w:rsid w:val="008F3A35"/>
    <w:rsid w:val="008F490C"/>
    <w:rsid w:val="008F4B82"/>
    <w:rsid w:val="008F4BE1"/>
    <w:rsid w:val="008F5408"/>
    <w:rsid w:val="008F67B0"/>
    <w:rsid w:val="008F687D"/>
    <w:rsid w:val="008F78B7"/>
    <w:rsid w:val="00900456"/>
    <w:rsid w:val="009006A6"/>
    <w:rsid w:val="009006EA"/>
    <w:rsid w:val="009007E4"/>
    <w:rsid w:val="00900975"/>
    <w:rsid w:val="009016D7"/>
    <w:rsid w:val="0090189A"/>
    <w:rsid w:val="00901A5E"/>
    <w:rsid w:val="00902F5C"/>
    <w:rsid w:val="009038EE"/>
    <w:rsid w:val="009039E4"/>
    <w:rsid w:val="00903AC3"/>
    <w:rsid w:val="00903B5F"/>
    <w:rsid w:val="00903CF2"/>
    <w:rsid w:val="0090412E"/>
    <w:rsid w:val="00904536"/>
    <w:rsid w:val="0090478A"/>
    <w:rsid w:val="00904A2E"/>
    <w:rsid w:val="0090517F"/>
    <w:rsid w:val="00906FB8"/>
    <w:rsid w:val="009073CB"/>
    <w:rsid w:val="0090753C"/>
    <w:rsid w:val="0090753E"/>
    <w:rsid w:val="009102A7"/>
    <w:rsid w:val="00910708"/>
    <w:rsid w:val="00910787"/>
    <w:rsid w:val="0091088B"/>
    <w:rsid w:val="00910C02"/>
    <w:rsid w:val="00911D86"/>
    <w:rsid w:val="00912241"/>
    <w:rsid w:val="009134B0"/>
    <w:rsid w:val="009136BA"/>
    <w:rsid w:val="00914467"/>
    <w:rsid w:val="009144B5"/>
    <w:rsid w:val="009146F6"/>
    <w:rsid w:val="00915668"/>
    <w:rsid w:val="0091566C"/>
    <w:rsid w:val="00915808"/>
    <w:rsid w:val="00915858"/>
    <w:rsid w:val="00915863"/>
    <w:rsid w:val="00915CB7"/>
    <w:rsid w:val="00916ED7"/>
    <w:rsid w:val="00917616"/>
    <w:rsid w:val="00917AAA"/>
    <w:rsid w:val="00920852"/>
    <w:rsid w:val="00920EEF"/>
    <w:rsid w:val="00921158"/>
    <w:rsid w:val="00921471"/>
    <w:rsid w:val="009214CC"/>
    <w:rsid w:val="00921CA9"/>
    <w:rsid w:val="00922041"/>
    <w:rsid w:val="009223DE"/>
    <w:rsid w:val="009224AB"/>
    <w:rsid w:val="00922843"/>
    <w:rsid w:val="009229C8"/>
    <w:rsid w:val="00922C32"/>
    <w:rsid w:val="00922E70"/>
    <w:rsid w:val="00922F4F"/>
    <w:rsid w:val="00923145"/>
    <w:rsid w:val="00924F88"/>
    <w:rsid w:val="009251B0"/>
    <w:rsid w:val="0092558A"/>
    <w:rsid w:val="00925B7C"/>
    <w:rsid w:val="00925E5E"/>
    <w:rsid w:val="00926B58"/>
    <w:rsid w:val="00926E69"/>
    <w:rsid w:val="00927648"/>
    <w:rsid w:val="009278F6"/>
    <w:rsid w:val="00927B75"/>
    <w:rsid w:val="00930538"/>
    <w:rsid w:val="00930593"/>
    <w:rsid w:val="00930AAA"/>
    <w:rsid w:val="00930C37"/>
    <w:rsid w:val="00930EF7"/>
    <w:rsid w:val="009310EB"/>
    <w:rsid w:val="0093125C"/>
    <w:rsid w:val="009313DD"/>
    <w:rsid w:val="009317B8"/>
    <w:rsid w:val="00931A75"/>
    <w:rsid w:val="00932C9D"/>
    <w:rsid w:val="00933B65"/>
    <w:rsid w:val="00934120"/>
    <w:rsid w:val="00934535"/>
    <w:rsid w:val="00935711"/>
    <w:rsid w:val="0093573B"/>
    <w:rsid w:val="009360D6"/>
    <w:rsid w:val="00936127"/>
    <w:rsid w:val="00936282"/>
    <w:rsid w:val="00936510"/>
    <w:rsid w:val="00936C23"/>
    <w:rsid w:val="00936CEA"/>
    <w:rsid w:val="00936F86"/>
    <w:rsid w:val="00937642"/>
    <w:rsid w:val="00937B91"/>
    <w:rsid w:val="009402CC"/>
    <w:rsid w:val="00940419"/>
    <w:rsid w:val="009406EB"/>
    <w:rsid w:val="00940FEE"/>
    <w:rsid w:val="00941204"/>
    <w:rsid w:val="00941336"/>
    <w:rsid w:val="009413A5"/>
    <w:rsid w:val="00942B7F"/>
    <w:rsid w:val="00942F7B"/>
    <w:rsid w:val="00943511"/>
    <w:rsid w:val="00943530"/>
    <w:rsid w:val="009440A0"/>
    <w:rsid w:val="009441F7"/>
    <w:rsid w:val="009442A3"/>
    <w:rsid w:val="00944499"/>
    <w:rsid w:val="009444FA"/>
    <w:rsid w:val="00944723"/>
    <w:rsid w:val="00944778"/>
    <w:rsid w:val="00945476"/>
    <w:rsid w:val="00945838"/>
    <w:rsid w:val="009458DD"/>
    <w:rsid w:val="009459D3"/>
    <w:rsid w:val="00945BF1"/>
    <w:rsid w:val="00945BFD"/>
    <w:rsid w:val="00945E92"/>
    <w:rsid w:val="0094615B"/>
    <w:rsid w:val="00946683"/>
    <w:rsid w:val="009466EE"/>
    <w:rsid w:val="0094688D"/>
    <w:rsid w:val="0094698E"/>
    <w:rsid w:val="00946A7F"/>
    <w:rsid w:val="00946E97"/>
    <w:rsid w:val="0094710C"/>
    <w:rsid w:val="00947746"/>
    <w:rsid w:val="009477D6"/>
    <w:rsid w:val="0094780C"/>
    <w:rsid w:val="00950738"/>
    <w:rsid w:val="00950746"/>
    <w:rsid w:val="009511A3"/>
    <w:rsid w:val="0095146B"/>
    <w:rsid w:val="009516A0"/>
    <w:rsid w:val="00951B7F"/>
    <w:rsid w:val="00951CFB"/>
    <w:rsid w:val="0095267C"/>
    <w:rsid w:val="009533E5"/>
    <w:rsid w:val="0095390C"/>
    <w:rsid w:val="00953AE6"/>
    <w:rsid w:val="00953C41"/>
    <w:rsid w:val="00954110"/>
    <w:rsid w:val="00954991"/>
    <w:rsid w:val="00955227"/>
    <w:rsid w:val="00955644"/>
    <w:rsid w:val="0095721E"/>
    <w:rsid w:val="00957398"/>
    <w:rsid w:val="009575E1"/>
    <w:rsid w:val="0095786C"/>
    <w:rsid w:val="00957E0F"/>
    <w:rsid w:val="0096097B"/>
    <w:rsid w:val="00960A5A"/>
    <w:rsid w:val="00960BC7"/>
    <w:rsid w:val="00960BFB"/>
    <w:rsid w:val="00960F7B"/>
    <w:rsid w:val="00962129"/>
    <w:rsid w:val="009622B4"/>
    <w:rsid w:val="009632C9"/>
    <w:rsid w:val="00964625"/>
    <w:rsid w:val="0096506F"/>
    <w:rsid w:val="009667EE"/>
    <w:rsid w:val="00967065"/>
    <w:rsid w:val="009672A7"/>
    <w:rsid w:val="009674CD"/>
    <w:rsid w:val="009700A8"/>
    <w:rsid w:val="009706F7"/>
    <w:rsid w:val="009707C7"/>
    <w:rsid w:val="00970C50"/>
    <w:rsid w:val="00970F5B"/>
    <w:rsid w:val="00971681"/>
    <w:rsid w:val="00971B5F"/>
    <w:rsid w:val="00971D0A"/>
    <w:rsid w:val="009720B6"/>
    <w:rsid w:val="00972153"/>
    <w:rsid w:val="0097316B"/>
    <w:rsid w:val="0097354A"/>
    <w:rsid w:val="00973AAB"/>
    <w:rsid w:val="00973FA1"/>
    <w:rsid w:val="009745F7"/>
    <w:rsid w:val="00974D83"/>
    <w:rsid w:val="00974FAA"/>
    <w:rsid w:val="009754C6"/>
    <w:rsid w:val="00975E58"/>
    <w:rsid w:val="00976BCD"/>
    <w:rsid w:val="00976E02"/>
    <w:rsid w:val="00977184"/>
    <w:rsid w:val="0097718F"/>
    <w:rsid w:val="009772F9"/>
    <w:rsid w:val="009777D1"/>
    <w:rsid w:val="00977EF6"/>
    <w:rsid w:val="009802C9"/>
    <w:rsid w:val="009805F5"/>
    <w:rsid w:val="009814BD"/>
    <w:rsid w:val="00981B9D"/>
    <w:rsid w:val="00982A63"/>
    <w:rsid w:val="00982F9E"/>
    <w:rsid w:val="00982FBE"/>
    <w:rsid w:val="00983801"/>
    <w:rsid w:val="00983A67"/>
    <w:rsid w:val="009840E6"/>
    <w:rsid w:val="00984137"/>
    <w:rsid w:val="0098422B"/>
    <w:rsid w:val="009843A7"/>
    <w:rsid w:val="00985ABF"/>
    <w:rsid w:val="0098644E"/>
    <w:rsid w:val="00986D9E"/>
    <w:rsid w:val="0098740F"/>
    <w:rsid w:val="00987ED4"/>
    <w:rsid w:val="00991685"/>
    <w:rsid w:val="009920AD"/>
    <w:rsid w:val="0099228B"/>
    <w:rsid w:val="009927FA"/>
    <w:rsid w:val="00992A3D"/>
    <w:rsid w:val="009935F5"/>
    <w:rsid w:val="00993762"/>
    <w:rsid w:val="009941C3"/>
    <w:rsid w:val="00994976"/>
    <w:rsid w:val="00994FE6"/>
    <w:rsid w:val="00995508"/>
    <w:rsid w:val="0099588B"/>
    <w:rsid w:val="00995A87"/>
    <w:rsid w:val="00995DAD"/>
    <w:rsid w:val="00996441"/>
    <w:rsid w:val="009967F2"/>
    <w:rsid w:val="00997790"/>
    <w:rsid w:val="009978A1"/>
    <w:rsid w:val="00997E8F"/>
    <w:rsid w:val="00997F8C"/>
    <w:rsid w:val="009A087E"/>
    <w:rsid w:val="009A0BB7"/>
    <w:rsid w:val="009A10AF"/>
    <w:rsid w:val="009A1424"/>
    <w:rsid w:val="009A1611"/>
    <w:rsid w:val="009A1C05"/>
    <w:rsid w:val="009A2169"/>
    <w:rsid w:val="009A222D"/>
    <w:rsid w:val="009A2426"/>
    <w:rsid w:val="009A2C5B"/>
    <w:rsid w:val="009A3C6D"/>
    <w:rsid w:val="009A3C9A"/>
    <w:rsid w:val="009A44AC"/>
    <w:rsid w:val="009A46F9"/>
    <w:rsid w:val="009A4CE2"/>
    <w:rsid w:val="009A56D0"/>
    <w:rsid w:val="009A6665"/>
    <w:rsid w:val="009A66AE"/>
    <w:rsid w:val="009A66D0"/>
    <w:rsid w:val="009A6AE0"/>
    <w:rsid w:val="009A6C75"/>
    <w:rsid w:val="009A7290"/>
    <w:rsid w:val="009A7A56"/>
    <w:rsid w:val="009A7B08"/>
    <w:rsid w:val="009B01FC"/>
    <w:rsid w:val="009B078F"/>
    <w:rsid w:val="009B0888"/>
    <w:rsid w:val="009B0935"/>
    <w:rsid w:val="009B0A71"/>
    <w:rsid w:val="009B1BFE"/>
    <w:rsid w:val="009B31B5"/>
    <w:rsid w:val="009B42E8"/>
    <w:rsid w:val="009B486B"/>
    <w:rsid w:val="009B4922"/>
    <w:rsid w:val="009B5775"/>
    <w:rsid w:val="009B5D77"/>
    <w:rsid w:val="009B70EC"/>
    <w:rsid w:val="009B7367"/>
    <w:rsid w:val="009B75C2"/>
    <w:rsid w:val="009C0150"/>
    <w:rsid w:val="009C0527"/>
    <w:rsid w:val="009C0C46"/>
    <w:rsid w:val="009C1785"/>
    <w:rsid w:val="009C2EEC"/>
    <w:rsid w:val="009C544E"/>
    <w:rsid w:val="009C583E"/>
    <w:rsid w:val="009C6155"/>
    <w:rsid w:val="009C6B48"/>
    <w:rsid w:val="009C6DED"/>
    <w:rsid w:val="009C77F0"/>
    <w:rsid w:val="009C78A0"/>
    <w:rsid w:val="009C7D53"/>
    <w:rsid w:val="009D048A"/>
    <w:rsid w:val="009D06E9"/>
    <w:rsid w:val="009D0B9C"/>
    <w:rsid w:val="009D0CBD"/>
    <w:rsid w:val="009D0D8A"/>
    <w:rsid w:val="009D16FD"/>
    <w:rsid w:val="009D19C6"/>
    <w:rsid w:val="009D24B0"/>
    <w:rsid w:val="009D33B7"/>
    <w:rsid w:val="009D3700"/>
    <w:rsid w:val="009D3DED"/>
    <w:rsid w:val="009D3F76"/>
    <w:rsid w:val="009D413E"/>
    <w:rsid w:val="009D4424"/>
    <w:rsid w:val="009D44D1"/>
    <w:rsid w:val="009D4718"/>
    <w:rsid w:val="009D488E"/>
    <w:rsid w:val="009D505F"/>
    <w:rsid w:val="009D7389"/>
    <w:rsid w:val="009D7A22"/>
    <w:rsid w:val="009D7AA0"/>
    <w:rsid w:val="009D7F92"/>
    <w:rsid w:val="009D7FD7"/>
    <w:rsid w:val="009E01D1"/>
    <w:rsid w:val="009E0C93"/>
    <w:rsid w:val="009E0EA2"/>
    <w:rsid w:val="009E214D"/>
    <w:rsid w:val="009E2231"/>
    <w:rsid w:val="009E27A0"/>
    <w:rsid w:val="009E28EC"/>
    <w:rsid w:val="009E2E43"/>
    <w:rsid w:val="009E315A"/>
    <w:rsid w:val="009E3219"/>
    <w:rsid w:val="009E3A9D"/>
    <w:rsid w:val="009E4841"/>
    <w:rsid w:val="009E5793"/>
    <w:rsid w:val="009E5822"/>
    <w:rsid w:val="009E5970"/>
    <w:rsid w:val="009E5B16"/>
    <w:rsid w:val="009E71E8"/>
    <w:rsid w:val="009E7786"/>
    <w:rsid w:val="009E78E7"/>
    <w:rsid w:val="009E7983"/>
    <w:rsid w:val="009E7C3C"/>
    <w:rsid w:val="009E7CBE"/>
    <w:rsid w:val="009F0397"/>
    <w:rsid w:val="009F1163"/>
    <w:rsid w:val="009F1165"/>
    <w:rsid w:val="009F1BD2"/>
    <w:rsid w:val="009F2E31"/>
    <w:rsid w:val="009F32E6"/>
    <w:rsid w:val="009F3A54"/>
    <w:rsid w:val="009F3A62"/>
    <w:rsid w:val="009F3F1F"/>
    <w:rsid w:val="009F4FB3"/>
    <w:rsid w:val="009F5A1C"/>
    <w:rsid w:val="009F5B24"/>
    <w:rsid w:val="009F5B77"/>
    <w:rsid w:val="009F603F"/>
    <w:rsid w:val="009F61B4"/>
    <w:rsid w:val="009F67DB"/>
    <w:rsid w:val="009F6939"/>
    <w:rsid w:val="009F6A95"/>
    <w:rsid w:val="009F6EA1"/>
    <w:rsid w:val="009F71D1"/>
    <w:rsid w:val="009F7648"/>
    <w:rsid w:val="009F7843"/>
    <w:rsid w:val="009F7D23"/>
    <w:rsid w:val="00A00391"/>
    <w:rsid w:val="00A00DD6"/>
    <w:rsid w:val="00A01385"/>
    <w:rsid w:val="00A016FD"/>
    <w:rsid w:val="00A017BA"/>
    <w:rsid w:val="00A0185C"/>
    <w:rsid w:val="00A01ECC"/>
    <w:rsid w:val="00A01EFD"/>
    <w:rsid w:val="00A026DF"/>
    <w:rsid w:val="00A02AA3"/>
    <w:rsid w:val="00A034A4"/>
    <w:rsid w:val="00A03A5F"/>
    <w:rsid w:val="00A03CA7"/>
    <w:rsid w:val="00A04100"/>
    <w:rsid w:val="00A047BF"/>
    <w:rsid w:val="00A05699"/>
    <w:rsid w:val="00A05A88"/>
    <w:rsid w:val="00A05C23"/>
    <w:rsid w:val="00A05D2E"/>
    <w:rsid w:val="00A066DE"/>
    <w:rsid w:val="00A0686A"/>
    <w:rsid w:val="00A06AB6"/>
    <w:rsid w:val="00A075C8"/>
    <w:rsid w:val="00A079BE"/>
    <w:rsid w:val="00A07A72"/>
    <w:rsid w:val="00A07F2D"/>
    <w:rsid w:val="00A10B65"/>
    <w:rsid w:val="00A1169C"/>
    <w:rsid w:val="00A12773"/>
    <w:rsid w:val="00A130DB"/>
    <w:rsid w:val="00A135F2"/>
    <w:rsid w:val="00A13D1C"/>
    <w:rsid w:val="00A13E11"/>
    <w:rsid w:val="00A13F01"/>
    <w:rsid w:val="00A13F0F"/>
    <w:rsid w:val="00A141E5"/>
    <w:rsid w:val="00A14529"/>
    <w:rsid w:val="00A14719"/>
    <w:rsid w:val="00A14734"/>
    <w:rsid w:val="00A14769"/>
    <w:rsid w:val="00A15581"/>
    <w:rsid w:val="00A1593F"/>
    <w:rsid w:val="00A15B57"/>
    <w:rsid w:val="00A16B35"/>
    <w:rsid w:val="00A16C62"/>
    <w:rsid w:val="00A16D56"/>
    <w:rsid w:val="00A16FDF"/>
    <w:rsid w:val="00A203F2"/>
    <w:rsid w:val="00A204B1"/>
    <w:rsid w:val="00A20C12"/>
    <w:rsid w:val="00A210EF"/>
    <w:rsid w:val="00A212A8"/>
    <w:rsid w:val="00A21425"/>
    <w:rsid w:val="00A21565"/>
    <w:rsid w:val="00A21BF5"/>
    <w:rsid w:val="00A21F92"/>
    <w:rsid w:val="00A23D03"/>
    <w:rsid w:val="00A23F74"/>
    <w:rsid w:val="00A24319"/>
    <w:rsid w:val="00A2536F"/>
    <w:rsid w:val="00A263F4"/>
    <w:rsid w:val="00A26AF6"/>
    <w:rsid w:val="00A27613"/>
    <w:rsid w:val="00A27A39"/>
    <w:rsid w:val="00A3011C"/>
    <w:rsid w:val="00A30818"/>
    <w:rsid w:val="00A30AF9"/>
    <w:rsid w:val="00A30DB3"/>
    <w:rsid w:val="00A3103B"/>
    <w:rsid w:val="00A3174D"/>
    <w:rsid w:val="00A31860"/>
    <w:rsid w:val="00A31A67"/>
    <w:rsid w:val="00A31FF6"/>
    <w:rsid w:val="00A32FE4"/>
    <w:rsid w:val="00A3347E"/>
    <w:rsid w:val="00A344A6"/>
    <w:rsid w:val="00A37BE9"/>
    <w:rsid w:val="00A37DCD"/>
    <w:rsid w:val="00A40297"/>
    <w:rsid w:val="00A403E9"/>
    <w:rsid w:val="00A406DC"/>
    <w:rsid w:val="00A4080B"/>
    <w:rsid w:val="00A4082B"/>
    <w:rsid w:val="00A41119"/>
    <w:rsid w:val="00A42C77"/>
    <w:rsid w:val="00A433EF"/>
    <w:rsid w:val="00A4347E"/>
    <w:rsid w:val="00A4371B"/>
    <w:rsid w:val="00A4381E"/>
    <w:rsid w:val="00A43A40"/>
    <w:rsid w:val="00A43C5C"/>
    <w:rsid w:val="00A45321"/>
    <w:rsid w:val="00A4630E"/>
    <w:rsid w:val="00A46906"/>
    <w:rsid w:val="00A46D9A"/>
    <w:rsid w:val="00A46F94"/>
    <w:rsid w:val="00A47DE3"/>
    <w:rsid w:val="00A47E4F"/>
    <w:rsid w:val="00A50F84"/>
    <w:rsid w:val="00A51009"/>
    <w:rsid w:val="00A512CA"/>
    <w:rsid w:val="00A5227A"/>
    <w:rsid w:val="00A533F5"/>
    <w:rsid w:val="00A53BBA"/>
    <w:rsid w:val="00A53F38"/>
    <w:rsid w:val="00A54406"/>
    <w:rsid w:val="00A54796"/>
    <w:rsid w:val="00A54B41"/>
    <w:rsid w:val="00A54D0C"/>
    <w:rsid w:val="00A55644"/>
    <w:rsid w:val="00A556EA"/>
    <w:rsid w:val="00A55A52"/>
    <w:rsid w:val="00A55DE0"/>
    <w:rsid w:val="00A561E4"/>
    <w:rsid w:val="00A579D1"/>
    <w:rsid w:val="00A57D42"/>
    <w:rsid w:val="00A57FA0"/>
    <w:rsid w:val="00A60609"/>
    <w:rsid w:val="00A60BBB"/>
    <w:rsid w:val="00A60C74"/>
    <w:rsid w:val="00A60C83"/>
    <w:rsid w:val="00A60FE5"/>
    <w:rsid w:val="00A62CB7"/>
    <w:rsid w:val="00A62F2B"/>
    <w:rsid w:val="00A63415"/>
    <w:rsid w:val="00A63A99"/>
    <w:rsid w:val="00A6492C"/>
    <w:rsid w:val="00A6509C"/>
    <w:rsid w:val="00A65AE3"/>
    <w:rsid w:val="00A65F1E"/>
    <w:rsid w:val="00A66C05"/>
    <w:rsid w:val="00A66F8C"/>
    <w:rsid w:val="00A6731C"/>
    <w:rsid w:val="00A67C5A"/>
    <w:rsid w:val="00A70484"/>
    <w:rsid w:val="00A70657"/>
    <w:rsid w:val="00A7073E"/>
    <w:rsid w:val="00A707C6"/>
    <w:rsid w:val="00A70A18"/>
    <w:rsid w:val="00A70B0E"/>
    <w:rsid w:val="00A71150"/>
    <w:rsid w:val="00A71C4D"/>
    <w:rsid w:val="00A71D06"/>
    <w:rsid w:val="00A72047"/>
    <w:rsid w:val="00A720D7"/>
    <w:rsid w:val="00A73068"/>
    <w:rsid w:val="00A7355A"/>
    <w:rsid w:val="00A739AD"/>
    <w:rsid w:val="00A75503"/>
    <w:rsid w:val="00A75733"/>
    <w:rsid w:val="00A75C6E"/>
    <w:rsid w:val="00A76094"/>
    <w:rsid w:val="00A7642F"/>
    <w:rsid w:val="00A76811"/>
    <w:rsid w:val="00A76CDE"/>
    <w:rsid w:val="00A7706F"/>
    <w:rsid w:val="00A7738C"/>
    <w:rsid w:val="00A77551"/>
    <w:rsid w:val="00A77A93"/>
    <w:rsid w:val="00A8029C"/>
    <w:rsid w:val="00A8094A"/>
    <w:rsid w:val="00A80964"/>
    <w:rsid w:val="00A80B29"/>
    <w:rsid w:val="00A80F3D"/>
    <w:rsid w:val="00A818BB"/>
    <w:rsid w:val="00A81D70"/>
    <w:rsid w:val="00A81F3F"/>
    <w:rsid w:val="00A823C3"/>
    <w:rsid w:val="00A8240F"/>
    <w:rsid w:val="00A829B8"/>
    <w:rsid w:val="00A83111"/>
    <w:rsid w:val="00A83237"/>
    <w:rsid w:val="00A83C80"/>
    <w:rsid w:val="00A84047"/>
    <w:rsid w:val="00A84196"/>
    <w:rsid w:val="00A84551"/>
    <w:rsid w:val="00A8475E"/>
    <w:rsid w:val="00A8493D"/>
    <w:rsid w:val="00A8514E"/>
    <w:rsid w:val="00A855AA"/>
    <w:rsid w:val="00A857DA"/>
    <w:rsid w:val="00A85802"/>
    <w:rsid w:val="00A85982"/>
    <w:rsid w:val="00A86053"/>
    <w:rsid w:val="00A86A0A"/>
    <w:rsid w:val="00A86A11"/>
    <w:rsid w:val="00A87904"/>
    <w:rsid w:val="00A90123"/>
    <w:rsid w:val="00A90440"/>
    <w:rsid w:val="00A9144B"/>
    <w:rsid w:val="00A919DE"/>
    <w:rsid w:val="00A92275"/>
    <w:rsid w:val="00A924A9"/>
    <w:rsid w:val="00A92BBC"/>
    <w:rsid w:val="00A92D21"/>
    <w:rsid w:val="00A92F69"/>
    <w:rsid w:val="00A934C1"/>
    <w:rsid w:val="00A9434B"/>
    <w:rsid w:val="00A949AE"/>
    <w:rsid w:val="00A94CCA"/>
    <w:rsid w:val="00A94F6C"/>
    <w:rsid w:val="00A95234"/>
    <w:rsid w:val="00A9557C"/>
    <w:rsid w:val="00A95DD3"/>
    <w:rsid w:val="00A96CB5"/>
    <w:rsid w:val="00A96D5C"/>
    <w:rsid w:val="00A972FF"/>
    <w:rsid w:val="00A97501"/>
    <w:rsid w:val="00A97F2A"/>
    <w:rsid w:val="00AA084B"/>
    <w:rsid w:val="00AA0938"/>
    <w:rsid w:val="00AA1188"/>
    <w:rsid w:val="00AA12AC"/>
    <w:rsid w:val="00AA1486"/>
    <w:rsid w:val="00AA1658"/>
    <w:rsid w:val="00AA1758"/>
    <w:rsid w:val="00AA1B4C"/>
    <w:rsid w:val="00AA1DD6"/>
    <w:rsid w:val="00AA1F2E"/>
    <w:rsid w:val="00AA22FC"/>
    <w:rsid w:val="00AA28A7"/>
    <w:rsid w:val="00AA2DFA"/>
    <w:rsid w:val="00AA324E"/>
    <w:rsid w:val="00AA328D"/>
    <w:rsid w:val="00AA4272"/>
    <w:rsid w:val="00AA498D"/>
    <w:rsid w:val="00AA535D"/>
    <w:rsid w:val="00AA6DF8"/>
    <w:rsid w:val="00AA751B"/>
    <w:rsid w:val="00AA78CE"/>
    <w:rsid w:val="00AA7D59"/>
    <w:rsid w:val="00AA7E68"/>
    <w:rsid w:val="00AA7ECB"/>
    <w:rsid w:val="00AB0683"/>
    <w:rsid w:val="00AB179B"/>
    <w:rsid w:val="00AB197C"/>
    <w:rsid w:val="00AB199E"/>
    <w:rsid w:val="00AB1E22"/>
    <w:rsid w:val="00AB2524"/>
    <w:rsid w:val="00AB2767"/>
    <w:rsid w:val="00AB2DA9"/>
    <w:rsid w:val="00AB38D4"/>
    <w:rsid w:val="00AB3B11"/>
    <w:rsid w:val="00AB43A7"/>
    <w:rsid w:val="00AB4704"/>
    <w:rsid w:val="00AB5052"/>
    <w:rsid w:val="00AB53FE"/>
    <w:rsid w:val="00AB5560"/>
    <w:rsid w:val="00AB5D59"/>
    <w:rsid w:val="00AB65C0"/>
    <w:rsid w:val="00AB68C7"/>
    <w:rsid w:val="00AB7FBC"/>
    <w:rsid w:val="00AC00E0"/>
    <w:rsid w:val="00AC070D"/>
    <w:rsid w:val="00AC0D78"/>
    <w:rsid w:val="00AC1B70"/>
    <w:rsid w:val="00AC22AB"/>
    <w:rsid w:val="00AC25D5"/>
    <w:rsid w:val="00AC2A1B"/>
    <w:rsid w:val="00AC2F1A"/>
    <w:rsid w:val="00AC3F7B"/>
    <w:rsid w:val="00AC42E9"/>
    <w:rsid w:val="00AC4E31"/>
    <w:rsid w:val="00AC58FC"/>
    <w:rsid w:val="00AC59FD"/>
    <w:rsid w:val="00AC6836"/>
    <w:rsid w:val="00AC6C8A"/>
    <w:rsid w:val="00AC72A9"/>
    <w:rsid w:val="00AC73C6"/>
    <w:rsid w:val="00AC7D2B"/>
    <w:rsid w:val="00AC7D76"/>
    <w:rsid w:val="00AD0421"/>
    <w:rsid w:val="00AD053D"/>
    <w:rsid w:val="00AD1561"/>
    <w:rsid w:val="00AD183A"/>
    <w:rsid w:val="00AD1892"/>
    <w:rsid w:val="00AD1A36"/>
    <w:rsid w:val="00AD1AAF"/>
    <w:rsid w:val="00AD1F30"/>
    <w:rsid w:val="00AD21E8"/>
    <w:rsid w:val="00AD24A3"/>
    <w:rsid w:val="00AD287B"/>
    <w:rsid w:val="00AD2BB6"/>
    <w:rsid w:val="00AD2E81"/>
    <w:rsid w:val="00AD3945"/>
    <w:rsid w:val="00AD3A55"/>
    <w:rsid w:val="00AD4724"/>
    <w:rsid w:val="00AD48BE"/>
    <w:rsid w:val="00AD5255"/>
    <w:rsid w:val="00AD5AF9"/>
    <w:rsid w:val="00AD5E69"/>
    <w:rsid w:val="00AD5F86"/>
    <w:rsid w:val="00AD6732"/>
    <w:rsid w:val="00AD7915"/>
    <w:rsid w:val="00AD7AA1"/>
    <w:rsid w:val="00AD7D9B"/>
    <w:rsid w:val="00AE0299"/>
    <w:rsid w:val="00AE1090"/>
    <w:rsid w:val="00AE16EC"/>
    <w:rsid w:val="00AE1EBE"/>
    <w:rsid w:val="00AE1F20"/>
    <w:rsid w:val="00AE2041"/>
    <w:rsid w:val="00AE2927"/>
    <w:rsid w:val="00AE2B26"/>
    <w:rsid w:val="00AE30D8"/>
    <w:rsid w:val="00AE3624"/>
    <w:rsid w:val="00AE41E9"/>
    <w:rsid w:val="00AE44F9"/>
    <w:rsid w:val="00AE50BF"/>
    <w:rsid w:val="00AE54DE"/>
    <w:rsid w:val="00AE5D44"/>
    <w:rsid w:val="00AE5D5D"/>
    <w:rsid w:val="00AE6815"/>
    <w:rsid w:val="00AE6F27"/>
    <w:rsid w:val="00AE72E8"/>
    <w:rsid w:val="00AE7391"/>
    <w:rsid w:val="00AE7B86"/>
    <w:rsid w:val="00AF1E52"/>
    <w:rsid w:val="00AF2305"/>
    <w:rsid w:val="00AF261B"/>
    <w:rsid w:val="00AF29D7"/>
    <w:rsid w:val="00AF2A93"/>
    <w:rsid w:val="00AF2C2A"/>
    <w:rsid w:val="00AF2C49"/>
    <w:rsid w:val="00AF3B6B"/>
    <w:rsid w:val="00AF421C"/>
    <w:rsid w:val="00AF44C9"/>
    <w:rsid w:val="00AF46AA"/>
    <w:rsid w:val="00AF4C5F"/>
    <w:rsid w:val="00AF4EFB"/>
    <w:rsid w:val="00AF51A6"/>
    <w:rsid w:val="00AF5D98"/>
    <w:rsid w:val="00AF6DD3"/>
    <w:rsid w:val="00AF71F2"/>
    <w:rsid w:val="00AF7307"/>
    <w:rsid w:val="00AF780B"/>
    <w:rsid w:val="00AF785F"/>
    <w:rsid w:val="00B005AC"/>
    <w:rsid w:val="00B0093C"/>
    <w:rsid w:val="00B00C5C"/>
    <w:rsid w:val="00B0156F"/>
    <w:rsid w:val="00B024F4"/>
    <w:rsid w:val="00B0251D"/>
    <w:rsid w:val="00B033E2"/>
    <w:rsid w:val="00B03A57"/>
    <w:rsid w:val="00B0417A"/>
    <w:rsid w:val="00B044C6"/>
    <w:rsid w:val="00B046D5"/>
    <w:rsid w:val="00B04821"/>
    <w:rsid w:val="00B0497B"/>
    <w:rsid w:val="00B05898"/>
    <w:rsid w:val="00B05C17"/>
    <w:rsid w:val="00B05C90"/>
    <w:rsid w:val="00B05F9E"/>
    <w:rsid w:val="00B068DF"/>
    <w:rsid w:val="00B06DF1"/>
    <w:rsid w:val="00B07B4F"/>
    <w:rsid w:val="00B10475"/>
    <w:rsid w:val="00B10513"/>
    <w:rsid w:val="00B10DE6"/>
    <w:rsid w:val="00B10F31"/>
    <w:rsid w:val="00B11C3E"/>
    <w:rsid w:val="00B11DCC"/>
    <w:rsid w:val="00B11FF2"/>
    <w:rsid w:val="00B126C1"/>
    <w:rsid w:val="00B129C9"/>
    <w:rsid w:val="00B13F6A"/>
    <w:rsid w:val="00B1405E"/>
    <w:rsid w:val="00B1443E"/>
    <w:rsid w:val="00B144B7"/>
    <w:rsid w:val="00B14575"/>
    <w:rsid w:val="00B16268"/>
    <w:rsid w:val="00B16AE5"/>
    <w:rsid w:val="00B16FFC"/>
    <w:rsid w:val="00B17509"/>
    <w:rsid w:val="00B17A77"/>
    <w:rsid w:val="00B202EF"/>
    <w:rsid w:val="00B205C5"/>
    <w:rsid w:val="00B20B6B"/>
    <w:rsid w:val="00B21746"/>
    <w:rsid w:val="00B21D7A"/>
    <w:rsid w:val="00B2222C"/>
    <w:rsid w:val="00B22660"/>
    <w:rsid w:val="00B2278F"/>
    <w:rsid w:val="00B2408A"/>
    <w:rsid w:val="00B24347"/>
    <w:rsid w:val="00B24F4F"/>
    <w:rsid w:val="00B24F9D"/>
    <w:rsid w:val="00B26221"/>
    <w:rsid w:val="00B2699E"/>
    <w:rsid w:val="00B26AE4"/>
    <w:rsid w:val="00B2747E"/>
    <w:rsid w:val="00B275E1"/>
    <w:rsid w:val="00B27A34"/>
    <w:rsid w:val="00B31A12"/>
    <w:rsid w:val="00B31B1F"/>
    <w:rsid w:val="00B330D4"/>
    <w:rsid w:val="00B33611"/>
    <w:rsid w:val="00B3383C"/>
    <w:rsid w:val="00B3474B"/>
    <w:rsid w:val="00B34B89"/>
    <w:rsid w:val="00B34F63"/>
    <w:rsid w:val="00B35670"/>
    <w:rsid w:val="00B35EA0"/>
    <w:rsid w:val="00B367B4"/>
    <w:rsid w:val="00B36C1E"/>
    <w:rsid w:val="00B3725F"/>
    <w:rsid w:val="00B40122"/>
    <w:rsid w:val="00B4012B"/>
    <w:rsid w:val="00B4022F"/>
    <w:rsid w:val="00B40EDB"/>
    <w:rsid w:val="00B4134B"/>
    <w:rsid w:val="00B414B3"/>
    <w:rsid w:val="00B4164C"/>
    <w:rsid w:val="00B42E77"/>
    <w:rsid w:val="00B42FFC"/>
    <w:rsid w:val="00B43126"/>
    <w:rsid w:val="00B438C8"/>
    <w:rsid w:val="00B43BC0"/>
    <w:rsid w:val="00B43D4B"/>
    <w:rsid w:val="00B43D92"/>
    <w:rsid w:val="00B447CB"/>
    <w:rsid w:val="00B45960"/>
    <w:rsid w:val="00B461F5"/>
    <w:rsid w:val="00B46345"/>
    <w:rsid w:val="00B46F4F"/>
    <w:rsid w:val="00B47338"/>
    <w:rsid w:val="00B502AC"/>
    <w:rsid w:val="00B507EB"/>
    <w:rsid w:val="00B508FC"/>
    <w:rsid w:val="00B50E27"/>
    <w:rsid w:val="00B518B7"/>
    <w:rsid w:val="00B51F1C"/>
    <w:rsid w:val="00B526CB"/>
    <w:rsid w:val="00B5275C"/>
    <w:rsid w:val="00B537A9"/>
    <w:rsid w:val="00B5394D"/>
    <w:rsid w:val="00B53A21"/>
    <w:rsid w:val="00B53B49"/>
    <w:rsid w:val="00B53BDF"/>
    <w:rsid w:val="00B53ED1"/>
    <w:rsid w:val="00B5409A"/>
    <w:rsid w:val="00B548FA"/>
    <w:rsid w:val="00B54A0A"/>
    <w:rsid w:val="00B55511"/>
    <w:rsid w:val="00B55B6B"/>
    <w:rsid w:val="00B56321"/>
    <w:rsid w:val="00B56FF3"/>
    <w:rsid w:val="00B57355"/>
    <w:rsid w:val="00B57AFD"/>
    <w:rsid w:val="00B57EA9"/>
    <w:rsid w:val="00B57FE4"/>
    <w:rsid w:val="00B60F99"/>
    <w:rsid w:val="00B6108D"/>
    <w:rsid w:val="00B6157C"/>
    <w:rsid w:val="00B61D39"/>
    <w:rsid w:val="00B61FAE"/>
    <w:rsid w:val="00B6250D"/>
    <w:rsid w:val="00B62E2D"/>
    <w:rsid w:val="00B635D0"/>
    <w:rsid w:val="00B63920"/>
    <w:rsid w:val="00B641F8"/>
    <w:rsid w:val="00B64399"/>
    <w:rsid w:val="00B6439E"/>
    <w:rsid w:val="00B64FB7"/>
    <w:rsid w:val="00B6510A"/>
    <w:rsid w:val="00B65362"/>
    <w:rsid w:val="00B660BA"/>
    <w:rsid w:val="00B66614"/>
    <w:rsid w:val="00B6692C"/>
    <w:rsid w:val="00B66D2B"/>
    <w:rsid w:val="00B67132"/>
    <w:rsid w:val="00B70712"/>
    <w:rsid w:val="00B717BF"/>
    <w:rsid w:val="00B71A56"/>
    <w:rsid w:val="00B71AF2"/>
    <w:rsid w:val="00B71C67"/>
    <w:rsid w:val="00B71FD7"/>
    <w:rsid w:val="00B7228A"/>
    <w:rsid w:val="00B73CCF"/>
    <w:rsid w:val="00B7492D"/>
    <w:rsid w:val="00B75CDF"/>
    <w:rsid w:val="00B762DD"/>
    <w:rsid w:val="00B7647F"/>
    <w:rsid w:val="00B76580"/>
    <w:rsid w:val="00B7662E"/>
    <w:rsid w:val="00B7693E"/>
    <w:rsid w:val="00B76BE3"/>
    <w:rsid w:val="00B76F2F"/>
    <w:rsid w:val="00B777D2"/>
    <w:rsid w:val="00B779A9"/>
    <w:rsid w:val="00B80312"/>
    <w:rsid w:val="00B804AF"/>
    <w:rsid w:val="00B8061C"/>
    <w:rsid w:val="00B80D6B"/>
    <w:rsid w:val="00B81ACF"/>
    <w:rsid w:val="00B82086"/>
    <w:rsid w:val="00B82E74"/>
    <w:rsid w:val="00B83318"/>
    <w:rsid w:val="00B83B1E"/>
    <w:rsid w:val="00B845EA"/>
    <w:rsid w:val="00B848CA"/>
    <w:rsid w:val="00B84C7B"/>
    <w:rsid w:val="00B84EED"/>
    <w:rsid w:val="00B84F46"/>
    <w:rsid w:val="00B8559B"/>
    <w:rsid w:val="00B85FF5"/>
    <w:rsid w:val="00B86294"/>
    <w:rsid w:val="00B873DE"/>
    <w:rsid w:val="00B87C6A"/>
    <w:rsid w:val="00B91052"/>
    <w:rsid w:val="00B91263"/>
    <w:rsid w:val="00B91764"/>
    <w:rsid w:val="00B91DD9"/>
    <w:rsid w:val="00B927E5"/>
    <w:rsid w:val="00B92C91"/>
    <w:rsid w:val="00B92E3B"/>
    <w:rsid w:val="00B93F27"/>
    <w:rsid w:val="00B9402E"/>
    <w:rsid w:val="00B94453"/>
    <w:rsid w:val="00B94E0B"/>
    <w:rsid w:val="00B94E42"/>
    <w:rsid w:val="00B94E99"/>
    <w:rsid w:val="00B95DE6"/>
    <w:rsid w:val="00B9612A"/>
    <w:rsid w:val="00B96250"/>
    <w:rsid w:val="00B9677F"/>
    <w:rsid w:val="00B975F3"/>
    <w:rsid w:val="00BA1570"/>
    <w:rsid w:val="00BA1B52"/>
    <w:rsid w:val="00BA1E11"/>
    <w:rsid w:val="00BA2606"/>
    <w:rsid w:val="00BA2608"/>
    <w:rsid w:val="00BA2792"/>
    <w:rsid w:val="00BA34C9"/>
    <w:rsid w:val="00BA3DDE"/>
    <w:rsid w:val="00BA3E3B"/>
    <w:rsid w:val="00BA402E"/>
    <w:rsid w:val="00BA478E"/>
    <w:rsid w:val="00BA552F"/>
    <w:rsid w:val="00BA5B63"/>
    <w:rsid w:val="00BA5E35"/>
    <w:rsid w:val="00BA5F6F"/>
    <w:rsid w:val="00BA6212"/>
    <w:rsid w:val="00BA684F"/>
    <w:rsid w:val="00BA690B"/>
    <w:rsid w:val="00BA6F2F"/>
    <w:rsid w:val="00BA70BA"/>
    <w:rsid w:val="00BA71AD"/>
    <w:rsid w:val="00BA7280"/>
    <w:rsid w:val="00BB00D6"/>
    <w:rsid w:val="00BB09F1"/>
    <w:rsid w:val="00BB0A6D"/>
    <w:rsid w:val="00BB0C35"/>
    <w:rsid w:val="00BB218A"/>
    <w:rsid w:val="00BB26E3"/>
    <w:rsid w:val="00BB27D1"/>
    <w:rsid w:val="00BB2862"/>
    <w:rsid w:val="00BB29D8"/>
    <w:rsid w:val="00BB3163"/>
    <w:rsid w:val="00BB3A6B"/>
    <w:rsid w:val="00BB3A94"/>
    <w:rsid w:val="00BB3B42"/>
    <w:rsid w:val="00BB3D0F"/>
    <w:rsid w:val="00BB47C4"/>
    <w:rsid w:val="00BB4EC3"/>
    <w:rsid w:val="00BB4EE9"/>
    <w:rsid w:val="00BB556E"/>
    <w:rsid w:val="00BB569B"/>
    <w:rsid w:val="00BB5B43"/>
    <w:rsid w:val="00BB5C43"/>
    <w:rsid w:val="00BB5FAA"/>
    <w:rsid w:val="00BB6764"/>
    <w:rsid w:val="00BB69A5"/>
    <w:rsid w:val="00BB6C5A"/>
    <w:rsid w:val="00BB6FAA"/>
    <w:rsid w:val="00BB7B8F"/>
    <w:rsid w:val="00BC0EFB"/>
    <w:rsid w:val="00BC124C"/>
    <w:rsid w:val="00BC1E60"/>
    <w:rsid w:val="00BC1F07"/>
    <w:rsid w:val="00BC21EE"/>
    <w:rsid w:val="00BC2811"/>
    <w:rsid w:val="00BC2945"/>
    <w:rsid w:val="00BC35F3"/>
    <w:rsid w:val="00BC3998"/>
    <w:rsid w:val="00BC3FDC"/>
    <w:rsid w:val="00BC523D"/>
    <w:rsid w:val="00BC5630"/>
    <w:rsid w:val="00BC5696"/>
    <w:rsid w:val="00BC5DAD"/>
    <w:rsid w:val="00BC61B9"/>
    <w:rsid w:val="00BC621F"/>
    <w:rsid w:val="00BC65D8"/>
    <w:rsid w:val="00BC6847"/>
    <w:rsid w:val="00BC7060"/>
    <w:rsid w:val="00BC7CF3"/>
    <w:rsid w:val="00BD0609"/>
    <w:rsid w:val="00BD1415"/>
    <w:rsid w:val="00BD14CD"/>
    <w:rsid w:val="00BD20EC"/>
    <w:rsid w:val="00BD316B"/>
    <w:rsid w:val="00BD325C"/>
    <w:rsid w:val="00BD4066"/>
    <w:rsid w:val="00BD4122"/>
    <w:rsid w:val="00BD4653"/>
    <w:rsid w:val="00BD4C1B"/>
    <w:rsid w:val="00BD5150"/>
    <w:rsid w:val="00BD523D"/>
    <w:rsid w:val="00BD544C"/>
    <w:rsid w:val="00BD560B"/>
    <w:rsid w:val="00BD5648"/>
    <w:rsid w:val="00BD574F"/>
    <w:rsid w:val="00BD57FB"/>
    <w:rsid w:val="00BD6172"/>
    <w:rsid w:val="00BD641F"/>
    <w:rsid w:val="00BD6475"/>
    <w:rsid w:val="00BD6D22"/>
    <w:rsid w:val="00BD76FB"/>
    <w:rsid w:val="00BD7FB2"/>
    <w:rsid w:val="00BE0C9B"/>
    <w:rsid w:val="00BE10F8"/>
    <w:rsid w:val="00BE1446"/>
    <w:rsid w:val="00BE18B5"/>
    <w:rsid w:val="00BE1F7F"/>
    <w:rsid w:val="00BE2499"/>
    <w:rsid w:val="00BE414B"/>
    <w:rsid w:val="00BE4E55"/>
    <w:rsid w:val="00BE582B"/>
    <w:rsid w:val="00BE5C95"/>
    <w:rsid w:val="00BE5D94"/>
    <w:rsid w:val="00BE5F56"/>
    <w:rsid w:val="00BE6721"/>
    <w:rsid w:val="00BE6AAC"/>
    <w:rsid w:val="00BE7006"/>
    <w:rsid w:val="00BE7052"/>
    <w:rsid w:val="00BE7A21"/>
    <w:rsid w:val="00BF0271"/>
    <w:rsid w:val="00BF06DD"/>
    <w:rsid w:val="00BF0AD5"/>
    <w:rsid w:val="00BF0E55"/>
    <w:rsid w:val="00BF12C4"/>
    <w:rsid w:val="00BF1786"/>
    <w:rsid w:val="00BF20DE"/>
    <w:rsid w:val="00BF26BB"/>
    <w:rsid w:val="00BF2C0E"/>
    <w:rsid w:val="00BF3007"/>
    <w:rsid w:val="00BF4A21"/>
    <w:rsid w:val="00BF5A26"/>
    <w:rsid w:val="00BF5E81"/>
    <w:rsid w:val="00BF64FE"/>
    <w:rsid w:val="00BF65CA"/>
    <w:rsid w:val="00BF77D6"/>
    <w:rsid w:val="00BF7D57"/>
    <w:rsid w:val="00C00233"/>
    <w:rsid w:val="00C003ED"/>
    <w:rsid w:val="00C00F7C"/>
    <w:rsid w:val="00C01123"/>
    <w:rsid w:val="00C0120C"/>
    <w:rsid w:val="00C020BE"/>
    <w:rsid w:val="00C02D41"/>
    <w:rsid w:val="00C0346F"/>
    <w:rsid w:val="00C037F0"/>
    <w:rsid w:val="00C03A44"/>
    <w:rsid w:val="00C03AC8"/>
    <w:rsid w:val="00C040A2"/>
    <w:rsid w:val="00C04241"/>
    <w:rsid w:val="00C0429D"/>
    <w:rsid w:val="00C0579A"/>
    <w:rsid w:val="00C058E3"/>
    <w:rsid w:val="00C06CA9"/>
    <w:rsid w:val="00C06DE5"/>
    <w:rsid w:val="00C06EBE"/>
    <w:rsid w:val="00C06F95"/>
    <w:rsid w:val="00C07B7D"/>
    <w:rsid w:val="00C1032B"/>
    <w:rsid w:val="00C10AE0"/>
    <w:rsid w:val="00C1110D"/>
    <w:rsid w:val="00C11156"/>
    <w:rsid w:val="00C113BA"/>
    <w:rsid w:val="00C1154F"/>
    <w:rsid w:val="00C119EB"/>
    <w:rsid w:val="00C11A50"/>
    <w:rsid w:val="00C127B1"/>
    <w:rsid w:val="00C1340F"/>
    <w:rsid w:val="00C134B7"/>
    <w:rsid w:val="00C135FE"/>
    <w:rsid w:val="00C13B89"/>
    <w:rsid w:val="00C1408F"/>
    <w:rsid w:val="00C15E87"/>
    <w:rsid w:val="00C165D3"/>
    <w:rsid w:val="00C175D0"/>
    <w:rsid w:val="00C17959"/>
    <w:rsid w:val="00C17D98"/>
    <w:rsid w:val="00C17E0D"/>
    <w:rsid w:val="00C20448"/>
    <w:rsid w:val="00C207D0"/>
    <w:rsid w:val="00C20959"/>
    <w:rsid w:val="00C2096B"/>
    <w:rsid w:val="00C20FFD"/>
    <w:rsid w:val="00C21A8D"/>
    <w:rsid w:val="00C21E2C"/>
    <w:rsid w:val="00C22990"/>
    <w:rsid w:val="00C22D8B"/>
    <w:rsid w:val="00C23483"/>
    <w:rsid w:val="00C23491"/>
    <w:rsid w:val="00C23CC3"/>
    <w:rsid w:val="00C2437A"/>
    <w:rsid w:val="00C24DB0"/>
    <w:rsid w:val="00C25B7B"/>
    <w:rsid w:val="00C25DA3"/>
    <w:rsid w:val="00C26121"/>
    <w:rsid w:val="00C263C4"/>
    <w:rsid w:val="00C26B1C"/>
    <w:rsid w:val="00C26F93"/>
    <w:rsid w:val="00C274AA"/>
    <w:rsid w:val="00C274D0"/>
    <w:rsid w:val="00C27DE6"/>
    <w:rsid w:val="00C27FCA"/>
    <w:rsid w:val="00C30C69"/>
    <w:rsid w:val="00C30F2E"/>
    <w:rsid w:val="00C32689"/>
    <w:rsid w:val="00C32901"/>
    <w:rsid w:val="00C32965"/>
    <w:rsid w:val="00C329EF"/>
    <w:rsid w:val="00C32B5C"/>
    <w:rsid w:val="00C32EFD"/>
    <w:rsid w:val="00C3306D"/>
    <w:rsid w:val="00C33721"/>
    <w:rsid w:val="00C33B1E"/>
    <w:rsid w:val="00C33CE0"/>
    <w:rsid w:val="00C33F9C"/>
    <w:rsid w:val="00C3426D"/>
    <w:rsid w:val="00C34584"/>
    <w:rsid w:val="00C34E0C"/>
    <w:rsid w:val="00C351B6"/>
    <w:rsid w:val="00C356A8"/>
    <w:rsid w:val="00C361B0"/>
    <w:rsid w:val="00C36674"/>
    <w:rsid w:val="00C37C16"/>
    <w:rsid w:val="00C40FEC"/>
    <w:rsid w:val="00C42BEE"/>
    <w:rsid w:val="00C42DAC"/>
    <w:rsid w:val="00C42DF8"/>
    <w:rsid w:val="00C43D0B"/>
    <w:rsid w:val="00C44ADA"/>
    <w:rsid w:val="00C44CB0"/>
    <w:rsid w:val="00C4504E"/>
    <w:rsid w:val="00C4510C"/>
    <w:rsid w:val="00C45288"/>
    <w:rsid w:val="00C45623"/>
    <w:rsid w:val="00C45906"/>
    <w:rsid w:val="00C45C4F"/>
    <w:rsid w:val="00C46060"/>
    <w:rsid w:val="00C4630D"/>
    <w:rsid w:val="00C46A87"/>
    <w:rsid w:val="00C46B4C"/>
    <w:rsid w:val="00C4787C"/>
    <w:rsid w:val="00C47C36"/>
    <w:rsid w:val="00C50303"/>
    <w:rsid w:val="00C50711"/>
    <w:rsid w:val="00C50F24"/>
    <w:rsid w:val="00C50F6E"/>
    <w:rsid w:val="00C513C9"/>
    <w:rsid w:val="00C51534"/>
    <w:rsid w:val="00C51680"/>
    <w:rsid w:val="00C519E9"/>
    <w:rsid w:val="00C51AE3"/>
    <w:rsid w:val="00C5229E"/>
    <w:rsid w:val="00C523C6"/>
    <w:rsid w:val="00C525BA"/>
    <w:rsid w:val="00C5275D"/>
    <w:rsid w:val="00C52E21"/>
    <w:rsid w:val="00C53065"/>
    <w:rsid w:val="00C53605"/>
    <w:rsid w:val="00C53DD1"/>
    <w:rsid w:val="00C53FD9"/>
    <w:rsid w:val="00C54204"/>
    <w:rsid w:val="00C54500"/>
    <w:rsid w:val="00C55300"/>
    <w:rsid w:val="00C555ED"/>
    <w:rsid w:val="00C555F7"/>
    <w:rsid w:val="00C558CD"/>
    <w:rsid w:val="00C55EF8"/>
    <w:rsid w:val="00C56446"/>
    <w:rsid w:val="00C56D7A"/>
    <w:rsid w:val="00C607A1"/>
    <w:rsid w:val="00C60863"/>
    <w:rsid w:val="00C60EFC"/>
    <w:rsid w:val="00C61517"/>
    <w:rsid w:val="00C6179A"/>
    <w:rsid w:val="00C61D43"/>
    <w:rsid w:val="00C6233A"/>
    <w:rsid w:val="00C6285D"/>
    <w:rsid w:val="00C62B8E"/>
    <w:rsid w:val="00C62D4A"/>
    <w:rsid w:val="00C639E3"/>
    <w:rsid w:val="00C640E3"/>
    <w:rsid w:val="00C646F0"/>
    <w:rsid w:val="00C64E83"/>
    <w:rsid w:val="00C65159"/>
    <w:rsid w:val="00C65186"/>
    <w:rsid w:val="00C66668"/>
    <w:rsid w:val="00C66CCE"/>
    <w:rsid w:val="00C66E70"/>
    <w:rsid w:val="00C679E1"/>
    <w:rsid w:val="00C70121"/>
    <w:rsid w:val="00C70563"/>
    <w:rsid w:val="00C70730"/>
    <w:rsid w:val="00C70739"/>
    <w:rsid w:val="00C70835"/>
    <w:rsid w:val="00C709E1"/>
    <w:rsid w:val="00C70EFB"/>
    <w:rsid w:val="00C71143"/>
    <w:rsid w:val="00C71292"/>
    <w:rsid w:val="00C71484"/>
    <w:rsid w:val="00C7154D"/>
    <w:rsid w:val="00C716CA"/>
    <w:rsid w:val="00C7221B"/>
    <w:rsid w:val="00C72305"/>
    <w:rsid w:val="00C7278D"/>
    <w:rsid w:val="00C72C1A"/>
    <w:rsid w:val="00C735A7"/>
    <w:rsid w:val="00C735B6"/>
    <w:rsid w:val="00C73927"/>
    <w:rsid w:val="00C73F6F"/>
    <w:rsid w:val="00C74547"/>
    <w:rsid w:val="00C75666"/>
    <w:rsid w:val="00C7568D"/>
    <w:rsid w:val="00C75A33"/>
    <w:rsid w:val="00C75ADE"/>
    <w:rsid w:val="00C75D4F"/>
    <w:rsid w:val="00C75F7E"/>
    <w:rsid w:val="00C76596"/>
    <w:rsid w:val="00C766CA"/>
    <w:rsid w:val="00C767D6"/>
    <w:rsid w:val="00C76BAE"/>
    <w:rsid w:val="00C76FAC"/>
    <w:rsid w:val="00C770AB"/>
    <w:rsid w:val="00C7793A"/>
    <w:rsid w:val="00C77AF0"/>
    <w:rsid w:val="00C77EA0"/>
    <w:rsid w:val="00C8014C"/>
    <w:rsid w:val="00C80BB9"/>
    <w:rsid w:val="00C80EC2"/>
    <w:rsid w:val="00C81104"/>
    <w:rsid w:val="00C811E6"/>
    <w:rsid w:val="00C8120A"/>
    <w:rsid w:val="00C813EC"/>
    <w:rsid w:val="00C8192A"/>
    <w:rsid w:val="00C81CB8"/>
    <w:rsid w:val="00C81FBA"/>
    <w:rsid w:val="00C828AE"/>
    <w:rsid w:val="00C833D6"/>
    <w:rsid w:val="00C84465"/>
    <w:rsid w:val="00C84EF0"/>
    <w:rsid w:val="00C8566F"/>
    <w:rsid w:val="00C859AE"/>
    <w:rsid w:val="00C85A3A"/>
    <w:rsid w:val="00C86DDF"/>
    <w:rsid w:val="00C86FE7"/>
    <w:rsid w:val="00C878D1"/>
    <w:rsid w:val="00C87B1D"/>
    <w:rsid w:val="00C87C43"/>
    <w:rsid w:val="00C90571"/>
    <w:rsid w:val="00C9076F"/>
    <w:rsid w:val="00C907EF"/>
    <w:rsid w:val="00C90B49"/>
    <w:rsid w:val="00C9158A"/>
    <w:rsid w:val="00C9347D"/>
    <w:rsid w:val="00C9362C"/>
    <w:rsid w:val="00C93B0E"/>
    <w:rsid w:val="00C93BFC"/>
    <w:rsid w:val="00C94070"/>
    <w:rsid w:val="00C940B8"/>
    <w:rsid w:val="00C942B8"/>
    <w:rsid w:val="00C94DF8"/>
    <w:rsid w:val="00C953ED"/>
    <w:rsid w:val="00C9558A"/>
    <w:rsid w:val="00C95B51"/>
    <w:rsid w:val="00C9602B"/>
    <w:rsid w:val="00C96884"/>
    <w:rsid w:val="00C97453"/>
    <w:rsid w:val="00C979D0"/>
    <w:rsid w:val="00CA005E"/>
    <w:rsid w:val="00CA0CA5"/>
    <w:rsid w:val="00CA0D31"/>
    <w:rsid w:val="00CA1025"/>
    <w:rsid w:val="00CA1399"/>
    <w:rsid w:val="00CA1D55"/>
    <w:rsid w:val="00CA1E2B"/>
    <w:rsid w:val="00CA1EE3"/>
    <w:rsid w:val="00CA24D8"/>
    <w:rsid w:val="00CA29A7"/>
    <w:rsid w:val="00CA34A6"/>
    <w:rsid w:val="00CA410E"/>
    <w:rsid w:val="00CA447E"/>
    <w:rsid w:val="00CA481B"/>
    <w:rsid w:val="00CA55B4"/>
    <w:rsid w:val="00CA5E18"/>
    <w:rsid w:val="00CA663B"/>
    <w:rsid w:val="00CA7073"/>
    <w:rsid w:val="00CA73DE"/>
    <w:rsid w:val="00CA7512"/>
    <w:rsid w:val="00CA7FCB"/>
    <w:rsid w:val="00CB0697"/>
    <w:rsid w:val="00CB0CDF"/>
    <w:rsid w:val="00CB0E40"/>
    <w:rsid w:val="00CB0FE7"/>
    <w:rsid w:val="00CB1256"/>
    <w:rsid w:val="00CB1751"/>
    <w:rsid w:val="00CB181A"/>
    <w:rsid w:val="00CB1DDE"/>
    <w:rsid w:val="00CB2349"/>
    <w:rsid w:val="00CB27FD"/>
    <w:rsid w:val="00CB2B8F"/>
    <w:rsid w:val="00CB31E5"/>
    <w:rsid w:val="00CB37A7"/>
    <w:rsid w:val="00CB39AF"/>
    <w:rsid w:val="00CB3A61"/>
    <w:rsid w:val="00CB4325"/>
    <w:rsid w:val="00CB445D"/>
    <w:rsid w:val="00CB4A60"/>
    <w:rsid w:val="00CB4DF6"/>
    <w:rsid w:val="00CB528D"/>
    <w:rsid w:val="00CB52FC"/>
    <w:rsid w:val="00CB5E46"/>
    <w:rsid w:val="00CB635C"/>
    <w:rsid w:val="00CB7321"/>
    <w:rsid w:val="00CB759C"/>
    <w:rsid w:val="00CB7E0A"/>
    <w:rsid w:val="00CB7F55"/>
    <w:rsid w:val="00CC0C69"/>
    <w:rsid w:val="00CC0E8F"/>
    <w:rsid w:val="00CC134B"/>
    <w:rsid w:val="00CC1895"/>
    <w:rsid w:val="00CC1EDA"/>
    <w:rsid w:val="00CC1FF7"/>
    <w:rsid w:val="00CC2520"/>
    <w:rsid w:val="00CC2B0C"/>
    <w:rsid w:val="00CC2FA3"/>
    <w:rsid w:val="00CC3027"/>
    <w:rsid w:val="00CC3227"/>
    <w:rsid w:val="00CC3376"/>
    <w:rsid w:val="00CC390D"/>
    <w:rsid w:val="00CC421B"/>
    <w:rsid w:val="00CC4CAA"/>
    <w:rsid w:val="00CC4CAB"/>
    <w:rsid w:val="00CC5939"/>
    <w:rsid w:val="00CC5F30"/>
    <w:rsid w:val="00CC61CE"/>
    <w:rsid w:val="00CC6577"/>
    <w:rsid w:val="00CC6E95"/>
    <w:rsid w:val="00CC71D5"/>
    <w:rsid w:val="00CC75F9"/>
    <w:rsid w:val="00CC7855"/>
    <w:rsid w:val="00CC7EB3"/>
    <w:rsid w:val="00CD00D3"/>
    <w:rsid w:val="00CD0931"/>
    <w:rsid w:val="00CD0CE9"/>
    <w:rsid w:val="00CD1482"/>
    <w:rsid w:val="00CD177E"/>
    <w:rsid w:val="00CD1BC6"/>
    <w:rsid w:val="00CD1F63"/>
    <w:rsid w:val="00CD2659"/>
    <w:rsid w:val="00CD27E8"/>
    <w:rsid w:val="00CD27EE"/>
    <w:rsid w:val="00CD2D2D"/>
    <w:rsid w:val="00CD2F57"/>
    <w:rsid w:val="00CD377E"/>
    <w:rsid w:val="00CD45D6"/>
    <w:rsid w:val="00CD47E6"/>
    <w:rsid w:val="00CD4FF9"/>
    <w:rsid w:val="00CD5120"/>
    <w:rsid w:val="00CD632E"/>
    <w:rsid w:val="00CD6858"/>
    <w:rsid w:val="00CD6C36"/>
    <w:rsid w:val="00CD6EC0"/>
    <w:rsid w:val="00CD78DA"/>
    <w:rsid w:val="00CD7ED0"/>
    <w:rsid w:val="00CE0285"/>
    <w:rsid w:val="00CE0344"/>
    <w:rsid w:val="00CE10BD"/>
    <w:rsid w:val="00CE10E9"/>
    <w:rsid w:val="00CE118A"/>
    <w:rsid w:val="00CE1E9D"/>
    <w:rsid w:val="00CE1F17"/>
    <w:rsid w:val="00CE2742"/>
    <w:rsid w:val="00CE2A68"/>
    <w:rsid w:val="00CE2CDE"/>
    <w:rsid w:val="00CE2F77"/>
    <w:rsid w:val="00CE2FDF"/>
    <w:rsid w:val="00CE3B89"/>
    <w:rsid w:val="00CE3FA0"/>
    <w:rsid w:val="00CE4327"/>
    <w:rsid w:val="00CE4333"/>
    <w:rsid w:val="00CE4813"/>
    <w:rsid w:val="00CE4904"/>
    <w:rsid w:val="00CE5143"/>
    <w:rsid w:val="00CE59F2"/>
    <w:rsid w:val="00CE6564"/>
    <w:rsid w:val="00CE6C7A"/>
    <w:rsid w:val="00CE6D0A"/>
    <w:rsid w:val="00CE700F"/>
    <w:rsid w:val="00CE71AA"/>
    <w:rsid w:val="00CE7738"/>
    <w:rsid w:val="00CE77C8"/>
    <w:rsid w:val="00CE7F13"/>
    <w:rsid w:val="00CF086C"/>
    <w:rsid w:val="00CF10BD"/>
    <w:rsid w:val="00CF126D"/>
    <w:rsid w:val="00CF1321"/>
    <w:rsid w:val="00CF18D2"/>
    <w:rsid w:val="00CF1B1B"/>
    <w:rsid w:val="00CF1BD5"/>
    <w:rsid w:val="00CF1D0E"/>
    <w:rsid w:val="00CF26BF"/>
    <w:rsid w:val="00CF27B9"/>
    <w:rsid w:val="00CF2F5D"/>
    <w:rsid w:val="00CF302B"/>
    <w:rsid w:val="00CF31B4"/>
    <w:rsid w:val="00CF3FB2"/>
    <w:rsid w:val="00CF4C5D"/>
    <w:rsid w:val="00CF52EF"/>
    <w:rsid w:val="00CF5459"/>
    <w:rsid w:val="00CF5A4A"/>
    <w:rsid w:val="00CF6422"/>
    <w:rsid w:val="00CF66A7"/>
    <w:rsid w:val="00CF7580"/>
    <w:rsid w:val="00CF760C"/>
    <w:rsid w:val="00D004BE"/>
    <w:rsid w:val="00D00852"/>
    <w:rsid w:val="00D00DBC"/>
    <w:rsid w:val="00D0258F"/>
    <w:rsid w:val="00D02850"/>
    <w:rsid w:val="00D02EA3"/>
    <w:rsid w:val="00D03586"/>
    <w:rsid w:val="00D03679"/>
    <w:rsid w:val="00D03A85"/>
    <w:rsid w:val="00D03B28"/>
    <w:rsid w:val="00D04F9D"/>
    <w:rsid w:val="00D0502B"/>
    <w:rsid w:val="00D053B5"/>
    <w:rsid w:val="00D05726"/>
    <w:rsid w:val="00D05C93"/>
    <w:rsid w:val="00D060D2"/>
    <w:rsid w:val="00D06392"/>
    <w:rsid w:val="00D06DCD"/>
    <w:rsid w:val="00D06EFB"/>
    <w:rsid w:val="00D073AF"/>
    <w:rsid w:val="00D0743C"/>
    <w:rsid w:val="00D075C6"/>
    <w:rsid w:val="00D101B7"/>
    <w:rsid w:val="00D108A9"/>
    <w:rsid w:val="00D10B3C"/>
    <w:rsid w:val="00D10C99"/>
    <w:rsid w:val="00D115E4"/>
    <w:rsid w:val="00D12433"/>
    <w:rsid w:val="00D1297A"/>
    <w:rsid w:val="00D13370"/>
    <w:rsid w:val="00D14FB9"/>
    <w:rsid w:val="00D150A4"/>
    <w:rsid w:val="00D154F5"/>
    <w:rsid w:val="00D1561D"/>
    <w:rsid w:val="00D15DB5"/>
    <w:rsid w:val="00D16045"/>
    <w:rsid w:val="00D16DE4"/>
    <w:rsid w:val="00D170FC"/>
    <w:rsid w:val="00D20700"/>
    <w:rsid w:val="00D20F5C"/>
    <w:rsid w:val="00D21126"/>
    <w:rsid w:val="00D21150"/>
    <w:rsid w:val="00D213C7"/>
    <w:rsid w:val="00D213E9"/>
    <w:rsid w:val="00D21B4C"/>
    <w:rsid w:val="00D21D92"/>
    <w:rsid w:val="00D21E96"/>
    <w:rsid w:val="00D2273E"/>
    <w:rsid w:val="00D2277C"/>
    <w:rsid w:val="00D23033"/>
    <w:rsid w:val="00D238C2"/>
    <w:rsid w:val="00D23930"/>
    <w:rsid w:val="00D244D5"/>
    <w:rsid w:val="00D24504"/>
    <w:rsid w:val="00D2488F"/>
    <w:rsid w:val="00D24B1E"/>
    <w:rsid w:val="00D24B33"/>
    <w:rsid w:val="00D25465"/>
    <w:rsid w:val="00D2590A"/>
    <w:rsid w:val="00D25AB5"/>
    <w:rsid w:val="00D25D7A"/>
    <w:rsid w:val="00D25DC3"/>
    <w:rsid w:val="00D26786"/>
    <w:rsid w:val="00D267A9"/>
    <w:rsid w:val="00D269D6"/>
    <w:rsid w:val="00D269E0"/>
    <w:rsid w:val="00D2722C"/>
    <w:rsid w:val="00D30582"/>
    <w:rsid w:val="00D30B9B"/>
    <w:rsid w:val="00D30E72"/>
    <w:rsid w:val="00D31085"/>
    <w:rsid w:val="00D314A6"/>
    <w:rsid w:val="00D31AC9"/>
    <w:rsid w:val="00D31D86"/>
    <w:rsid w:val="00D31FA4"/>
    <w:rsid w:val="00D3272F"/>
    <w:rsid w:val="00D33268"/>
    <w:rsid w:val="00D336EA"/>
    <w:rsid w:val="00D33989"/>
    <w:rsid w:val="00D33B6C"/>
    <w:rsid w:val="00D33E94"/>
    <w:rsid w:val="00D3454C"/>
    <w:rsid w:val="00D348AC"/>
    <w:rsid w:val="00D3519E"/>
    <w:rsid w:val="00D3523F"/>
    <w:rsid w:val="00D35529"/>
    <w:rsid w:val="00D3553B"/>
    <w:rsid w:val="00D3600B"/>
    <w:rsid w:val="00D3672B"/>
    <w:rsid w:val="00D368E5"/>
    <w:rsid w:val="00D3696B"/>
    <w:rsid w:val="00D36B4C"/>
    <w:rsid w:val="00D3708D"/>
    <w:rsid w:val="00D37356"/>
    <w:rsid w:val="00D3742A"/>
    <w:rsid w:val="00D37B94"/>
    <w:rsid w:val="00D37C1E"/>
    <w:rsid w:val="00D37F45"/>
    <w:rsid w:val="00D400DE"/>
    <w:rsid w:val="00D40FB2"/>
    <w:rsid w:val="00D4105E"/>
    <w:rsid w:val="00D41655"/>
    <w:rsid w:val="00D42026"/>
    <w:rsid w:val="00D42396"/>
    <w:rsid w:val="00D42E24"/>
    <w:rsid w:val="00D43628"/>
    <w:rsid w:val="00D4399A"/>
    <w:rsid w:val="00D43E1E"/>
    <w:rsid w:val="00D43FCD"/>
    <w:rsid w:val="00D44065"/>
    <w:rsid w:val="00D441DD"/>
    <w:rsid w:val="00D44A44"/>
    <w:rsid w:val="00D44BF3"/>
    <w:rsid w:val="00D44D96"/>
    <w:rsid w:val="00D45090"/>
    <w:rsid w:val="00D45C74"/>
    <w:rsid w:val="00D45E63"/>
    <w:rsid w:val="00D46107"/>
    <w:rsid w:val="00D466F2"/>
    <w:rsid w:val="00D50186"/>
    <w:rsid w:val="00D501A1"/>
    <w:rsid w:val="00D50854"/>
    <w:rsid w:val="00D50899"/>
    <w:rsid w:val="00D51110"/>
    <w:rsid w:val="00D51A12"/>
    <w:rsid w:val="00D523D7"/>
    <w:rsid w:val="00D525FA"/>
    <w:rsid w:val="00D52A65"/>
    <w:rsid w:val="00D53375"/>
    <w:rsid w:val="00D54158"/>
    <w:rsid w:val="00D54B72"/>
    <w:rsid w:val="00D5504B"/>
    <w:rsid w:val="00D556A7"/>
    <w:rsid w:val="00D562A9"/>
    <w:rsid w:val="00D5688B"/>
    <w:rsid w:val="00D5695F"/>
    <w:rsid w:val="00D56BF7"/>
    <w:rsid w:val="00D570A7"/>
    <w:rsid w:val="00D57121"/>
    <w:rsid w:val="00D57960"/>
    <w:rsid w:val="00D6028B"/>
    <w:rsid w:val="00D6035A"/>
    <w:rsid w:val="00D60DAA"/>
    <w:rsid w:val="00D616A1"/>
    <w:rsid w:val="00D62CFB"/>
    <w:rsid w:val="00D6318E"/>
    <w:rsid w:val="00D633B6"/>
    <w:rsid w:val="00D637B8"/>
    <w:rsid w:val="00D63D53"/>
    <w:rsid w:val="00D641BF"/>
    <w:rsid w:val="00D64B0E"/>
    <w:rsid w:val="00D64F13"/>
    <w:rsid w:val="00D65190"/>
    <w:rsid w:val="00D657C0"/>
    <w:rsid w:val="00D659B9"/>
    <w:rsid w:val="00D65B0A"/>
    <w:rsid w:val="00D65B76"/>
    <w:rsid w:val="00D67A69"/>
    <w:rsid w:val="00D67B44"/>
    <w:rsid w:val="00D7033B"/>
    <w:rsid w:val="00D710FB"/>
    <w:rsid w:val="00D71E99"/>
    <w:rsid w:val="00D72181"/>
    <w:rsid w:val="00D73496"/>
    <w:rsid w:val="00D7396F"/>
    <w:rsid w:val="00D73E6C"/>
    <w:rsid w:val="00D73F50"/>
    <w:rsid w:val="00D73F73"/>
    <w:rsid w:val="00D74AF4"/>
    <w:rsid w:val="00D74C3C"/>
    <w:rsid w:val="00D74CC9"/>
    <w:rsid w:val="00D7523E"/>
    <w:rsid w:val="00D7569D"/>
    <w:rsid w:val="00D762CD"/>
    <w:rsid w:val="00D76A33"/>
    <w:rsid w:val="00D76C81"/>
    <w:rsid w:val="00D7715D"/>
    <w:rsid w:val="00D77197"/>
    <w:rsid w:val="00D772A6"/>
    <w:rsid w:val="00D77794"/>
    <w:rsid w:val="00D77DE3"/>
    <w:rsid w:val="00D81087"/>
    <w:rsid w:val="00D812C0"/>
    <w:rsid w:val="00D81AA1"/>
    <w:rsid w:val="00D81AF1"/>
    <w:rsid w:val="00D8206C"/>
    <w:rsid w:val="00D82820"/>
    <w:rsid w:val="00D8312C"/>
    <w:rsid w:val="00D843D7"/>
    <w:rsid w:val="00D848D8"/>
    <w:rsid w:val="00D84DEA"/>
    <w:rsid w:val="00D84E4B"/>
    <w:rsid w:val="00D856D4"/>
    <w:rsid w:val="00D859B6"/>
    <w:rsid w:val="00D861F1"/>
    <w:rsid w:val="00D86D7B"/>
    <w:rsid w:val="00D87052"/>
    <w:rsid w:val="00D87269"/>
    <w:rsid w:val="00D87277"/>
    <w:rsid w:val="00D90345"/>
    <w:rsid w:val="00D906AD"/>
    <w:rsid w:val="00D90AD2"/>
    <w:rsid w:val="00D9101D"/>
    <w:rsid w:val="00D9167D"/>
    <w:rsid w:val="00D91980"/>
    <w:rsid w:val="00D92527"/>
    <w:rsid w:val="00D926FB"/>
    <w:rsid w:val="00D92A09"/>
    <w:rsid w:val="00D92A4E"/>
    <w:rsid w:val="00D94151"/>
    <w:rsid w:val="00D94C60"/>
    <w:rsid w:val="00D950D6"/>
    <w:rsid w:val="00D957D5"/>
    <w:rsid w:val="00D95BB2"/>
    <w:rsid w:val="00D96D45"/>
    <w:rsid w:val="00D96F86"/>
    <w:rsid w:val="00D976F6"/>
    <w:rsid w:val="00D97961"/>
    <w:rsid w:val="00D97997"/>
    <w:rsid w:val="00D97D5E"/>
    <w:rsid w:val="00D97EC3"/>
    <w:rsid w:val="00DA050C"/>
    <w:rsid w:val="00DA07FE"/>
    <w:rsid w:val="00DA095C"/>
    <w:rsid w:val="00DA0CF3"/>
    <w:rsid w:val="00DA17F8"/>
    <w:rsid w:val="00DA1D07"/>
    <w:rsid w:val="00DA2352"/>
    <w:rsid w:val="00DA2572"/>
    <w:rsid w:val="00DA27E2"/>
    <w:rsid w:val="00DA2CE7"/>
    <w:rsid w:val="00DA31C2"/>
    <w:rsid w:val="00DA36FD"/>
    <w:rsid w:val="00DA3E36"/>
    <w:rsid w:val="00DA4017"/>
    <w:rsid w:val="00DA4A04"/>
    <w:rsid w:val="00DA4D58"/>
    <w:rsid w:val="00DA4FE3"/>
    <w:rsid w:val="00DA5B94"/>
    <w:rsid w:val="00DA5D39"/>
    <w:rsid w:val="00DA67D4"/>
    <w:rsid w:val="00DA6CB7"/>
    <w:rsid w:val="00DA72DC"/>
    <w:rsid w:val="00DA76A8"/>
    <w:rsid w:val="00DA7865"/>
    <w:rsid w:val="00DB007E"/>
    <w:rsid w:val="00DB0165"/>
    <w:rsid w:val="00DB1561"/>
    <w:rsid w:val="00DB16ED"/>
    <w:rsid w:val="00DB2354"/>
    <w:rsid w:val="00DB3167"/>
    <w:rsid w:val="00DB40F9"/>
    <w:rsid w:val="00DB5238"/>
    <w:rsid w:val="00DB57B1"/>
    <w:rsid w:val="00DB5C76"/>
    <w:rsid w:val="00DB5DF1"/>
    <w:rsid w:val="00DB6DE5"/>
    <w:rsid w:val="00DB7498"/>
    <w:rsid w:val="00DB7B2F"/>
    <w:rsid w:val="00DC006B"/>
    <w:rsid w:val="00DC0159"/>
    <w:rsid w:val="00DC04CB"/>
    <w:rsid w:val="00DC0500"/>
    <w:rsid w:val="00DC06CD"/>
    <w:rsid w:val="00DC1009"/>
    <w:rsid w:val="00DC1044"/>
    <w:rsid w:val="00DC177D"/>
    <w:rsid w:val="00DC19C6"/>
    <w:rsid w:val="00DC1A38"/>
    <w:rsid w:val="00DC1BDB"/>
    <w:rsid w:val="00DC214B"/>
    <w:rsid w:val="00DC3935"/>
    <w:rsid w:val="00DC3A16"/>
    <w:rsid w:val="00DC3ACD"/>
    <w:rsid w:val="00DC3CD9"/>
    <w:rsid w:val="00DC424D"/>
    <w:rsid w:val="00DC4324"/>
    <w:rsid w:val="00DC46A1"/>
    <w:rsid w:val="00DC46F3"/>
    <w:rsid w:val="00DC5090"/>
    <w:rsid w:val="00DC51ED"/>
    <w:rsid w:val="00DC556C"/>
    <w:rsid w:val="00DC6290"/>
    <w:rsid w:val="00DC62C5"/>
    <w:rsid w:val="00DC669A"/>
    <w:rsid w:val="00DC6E9C"/>
    <w:rsid w:val="00DC6F91"/>
    <w:rsid w:val="00DC7071"/>
    <w:rsid w:val="00DC7D7C"/>
    <w:rsid w:val="00DC7DA9"/>
    <w:rsid w:val="00DC7F2A"/>
    <w:rsid w:val="00DC7F3D"/>
    <w:rsid w:val="00DD03AD"/>
    <w:rsid w:val="00DD0A9F"/>
    <w:rsid w:val="00DD13D1"/>
    <w:rsid w:val="00DD143D"/>
    <w:rsid w:val="00DD1675"/>
    <w:rsid w:val="00DD1854"/>
    <w:rsid w:val="00DD1D3E"/>
    <w:rsid w:val="00DD2B27"/>
    <w:rsid w:val="00DD2F32"/>
    <w:rsid w:val="00DD3371"/>
    <w:rsid w:val="00DD33D5"/>
    <w:rsid w:val="00DD3B17"/>
    <w:rsid w:val="00DD3F13"/>
    <w:rsid w:val="00DD4036"/>
    <w:rsid w:val="00DD46EB"/>
    <w:rsid w:val="00DD503A"/>
    <w:rsid w:val="00DD56E6"/>
    <w:rsid w:val="00DD5746"/>
    <w:rsid w:val="00DD5820"/>
    <w:rsid w:val="00DD5CD2"/>
    <w:rsid w:val="00DD5E91"/>
    <w:rsid w:val="00DD64AD"/>
    <w:rsid w:val="00DD67C4"/>
    <w:rsid w:val="00DD69DD"/>
    <w:rsid w:val="00DD6D90"/>
    <w:rsid w:val="00DD7594"/>
    <w:rsid w:val="00DD7693"/>
    <w:rsid w:val="00DD776A"/>
    <w:rsid w:val="00DD7E17"/>
    <w:rsid w:val="00DE0F9E"/>
    <w:rsid w:val="00DE1132"/>
    <w:rsid w:val="00DE261E"/>
    <w:rsid w:val="00DE2860"/>
    <w:rsid w:val="00DE296D"/>
    <w:rsid w:val="00DE2B10"/>
    <w:rsid w:val="00DE332C"/>
    <w:rsid w:val="00DE35DB"/>
    <w:rsid w:val="00DE39F2"/>
    <w:rsid w:val="00DE3C21"/>
    <w:rsid w:val="00DE45BE"/>
    <w:rsid w:val="00DE4782"/>
    <w:rsid w:val="00DE5304"/>
    <w:rsid w:val="00DE5951"/>
    <w:rsid w:val="00DE5D73"/>
    <w:rsid w:val="00DE65BD"/>
    <w:rsid w:val="00DE7144"/>
    <w:rsid w:val="00DE7279"/>
    <w:rsid w:val="00DE793E"/>
    <w:rsid w:val="00DE7EF8"/>
    <w:rsid w:val="00DF019E"/>
    <w:rsid w:val="00DF06E9"/>
    <w:rsid w:val="00DF1C74"/>
    <w:rsid w:val="00DF1CD5"/>
    <w:rsid w:val="00DF1D3A"/>
    <w:rsid w:val="00DF1FCA"/>
    <w:rsid w:val="00DF2A1C"/>
    <w:rsid w:val="00DF32FD"/>
    <w:rsid w:val="00DF3569"/>
    <w:rsid w:val="00DF51AF"/>
    <w:rsid w:val="00DF53E5"/>
    <w:rsid w:val="00DF67AC"/>
    <w:rsid w:val="00DF6967"/>
    <w:rsid w:val="00DF71DC"/>
    <w:rsid w:val="00DF7448"/>
    <w:rsid w:val="00DF7E04"/>
    <w:rsid w:val="00DF7F85"/>
    <w:rsid w:val="00E000B1"/>
    <w:rsid w:val="00E0118C"/>
    <w:rsid w:val="00E022FB"/>
    <w:rsid w:val="00E02570"/>
    <w:rsid w:val="00E035D7"/>
    <w:rsid w:val="00E03B36"/>
    <w:rsid w:val="00E03B9D"/>
    <w:rsid w:val="00E03E3B"/>
    <w:rsid w:val="00E04437"/>
    <w:rsid w:val="00E05EC2"/>
    <w:rsid w:val="00E069F9"/>
    <w:rsid w:val="00E06C8F"/>
    <w:rsid w:val="00E07464"/>
    <w:rsid w:val="00E07BE6"/>
    <w:rsid w:val="00E07D05"/>
    <w:rsid w:val="00E10BF0"/>
    <w:rsid w:val="00E10DE9"/>
    <w:rsid w:val="00E114C1"/>
    <w:rsid w:val="00E128F6"/>
    <w:rsid w:val="00E12CA1"/>
    <w:rsid w:val="00E12FA1"/>
    <w:rsid w:val="00E1327A"/>
    <w:rsid w:val="00E13CEA"/>
    <w:rsid w:val="00E13F5B"/>
    <w:rsid w:val="00E141FB"/>
    <w:rsid w:val="00E149F1"/>
    <w:rsid w:val="00E14C5F"/>
    <w:rsid w:val="00E15045"/>
    <w:rsid w:val="00E15292"/>
    <w:rsid w:val="00E152F3"/>
    <w:rsid w:val="00E15C26"/>
    <w:rsid w:val="00E15F1C"/>
    <w:rsid w:val="00E164A3"/>
    <w:rsid w:val="00E1655A"/>
    <w:rsid w:val="00E1690F"/>
    <w:rsid w:val="00E16CFB"/>
    <w:rsid w:val="00E17B14"/>
    <w:rsid w:val="00E20649"/>
    <w:rsid w:val="00E2135C"/>
    <w:rsid w:val="00E21511"/>
    <w:rsid w:val="00E216A6"/>
    <w:rsid w:val="00E21DBD"/>
    <w:rsid w:val="00E2208E"/>
    <w:rsid w:val="00E235E8"/>
    <w:rsid w:val="00E245BD"/>
    <w:rsid w:val="00E249B7"/>
    <w:rsid w:val="00E24B89"/>
    <w:rsid w:val="00E261D3"/>
    <w:rsid w:val="00E268F2"/>
    <w:rsid w:val="00E26CFA"/>
    <w:rsid w:val="00E2717A"/>
    <w:rsid w:val="00E272B3"/>
    <w:rsid w:val="00E2749E"/>
    <w:rsid w:val="00E275B2"/>
    <w:rsid w:val="00E275E7"/>
    <w:rsid w:val="00E30D50"/>
    <w:rsid w:val="00E311BF"/>
    <w:rsid w:val="00E318AF"/>
    <w:rsid w:val="00E31D56"/>
    <w:rsid w:val="00E3275C"/>
    <w:rsid w:val="00E332F7"/>
    <w:rsid w:val="00E33554"/>
    <w:rsid w:val="00E3369E"/>
    <w:rsid w:val="00E34672"/>
    <w:rsid w:val="00E3490F"/>
    <w:rsid w:val="00E34D0C"/>
    <w:rsid w:val="00E35824"/>
    <w:rsid w:val="00E35B18"/>
    <w:rsid w:val="00E35DFE"/>
    <w:rsid w:val="00E3699A"/>
    <w:rsid w:val="00E36F79"/>
    <w:rsid w:val="00E37102"/>
    <w:rsid w:val="00E374E0"/>
    <w:rsid w:val="00E37D89"/>
    <w:rsid w:val="00E40821"/>
    <w:rsid w:val="00E4088F"/>
    <w:rsid w:val="00E4234A"/>
    <w:rsid w:val="00E423C9"/>
    <w:rsid w:val="00E42A87"/>
    <w:rsid w:val="00E42BB4"/>
    <w:rsid w:val="00E42D21"/>
    <w:rsid w:val="00E430F3"/>
    <w:rsid w:val="00E43875"/>
    <w:rsid w:val="00E442D5"/>
    <w:rsid w:val="00E448C6"/>
    <w:rsid w:val="00E44B04"/>
    <w:rsid w:val="00E44DA1"/>
    <w:rsid w:val="00E451E9"/>
    <w:rsid w:val="00E453F7"/>
    <w:rsid w:val="00E45486"/>
    <w:rsid w:val="00E47300"/>
    <w:rsid w:val="00E47430"/>
    <w:rsid w:val="00E4775F"/>
    <w:rsid w:val="00E47F2B"/>
    <w:rsid w:val="00E5004D"/>
    <w:rsid w:val="00E5006A"/>
    <w:rsid w:val="00E50484"/>
    <w:rsid w:val="00E507BE"/>
    <w:rsid w:val="00E50AF4"/>
    <w:rsid w:val="00E50C9F"/>
    <w:rsid w:val="00E51603"/>
    <w:rsid w:val="00E517EB"/>
    <w:rsid w:val="00E518F4"/>
    <w:rsid w:val="00E51A48"/>
    <w:rsid w:val="00E51FA4"/>
    <w:rsid w:val="00E523F8"/>
    <w:rsid w:val="00E531B4"/>
    <w:rsid w:val="00E53475"/>
    <w:rsid w:val="00E5434F"/>
    <w:rsid w:val="00E54B48"/>
    <w:rsid w:val="00E55177"/>
    <w:rsid w:val="00E5578C"/>
    <w:rsid w:val="00E55CCC"/>
    <w:rsid w:val="00E56A03"/>
    <w:rsid w:val="00E56EAD"/>
    <w:rsid w:val="00E571DA"/>
    <w:rsid w:val="00E57808"/>
    <w:rsid w:val="00E57930"/>
    <w:rsid w:val="00E57F39"/>
    <w:rsid w:val="00E6214B"/>
    <w:rsid w:val="00E6233B"/>
    <w:rsid w:val="00E6319B"/>
    <w:rsid w:val="00E63CAA"/>
    <w:rsid w:val="00E647C3"/>
    <w:rsid w:val="00E65649"/>
    <w:rsid w:val="00E65A7B"/>
    <w:rsid w:val="00E66621"/>
    <w:rsid w:val="00E66704"/>
    <w:rsid w:val="00E66A28"/>
    <w:rsid w:val="00E66E27"/>
    <w:rsid w:val="00E66E39"/>
    <w:rsid w:val="00E66E8B"/>
    <w:rsid w:val="00E67330"/>
    <w:rsid w:val="00E67FCF"/>
    <w:rsid w:val="00E70394"/>
    <w:rsid w:val="00E70517"/>
    <w:rsid w:val="00E70970"/>
    <w:rsid w:val="00E717BA"/>
    <w:rsid w:val="00E71829"/>
    <w:rsid w:val="00E71B80"/>
    <w:rsid w:val="00E71EB9"/>
    <w:rsid w:val="00E72552"/>
    <w:rsid w:val="00E72708"/>
    <w:rsid w:val="00E729D6"/>
    <w:rsid w:val="00E72AE5"/>
    <w:rsid w:val="00E733F9"/>
    <w:rsid w:val="00E73814"/>
    <w:rsid w:val="00E73C24"/>
    <w:rsid w:val="00E73F2E"/>
    <w:rsid w:val="00E74B02"/>
    <w:rsid w:val="00E74CD2"/>
    <w:rsid w:val="00E74DFC"/>
    <w:rsid w:val="00E75327"/>
    <w:rsid w:val="00E75589"/>
    <w:rsid w:val="00E759B2"/>
    <w:rsid w:val="00E761F4"/>
    <w:rsid w:val="00E77DF6"/>
    <w:rsid w:val="00E800B9"/>
    <w:rsid w:val="00E805B1"/>
    <w:rsid w:val="00E80AA7"/>
    <w:rsid w:val="00E814AC"/>
    <w:rsid w:val="00E814E5"/>
    <w:rsid w:val="00E8192C"/>
    <w:rsid w:val="00E81C28"/>
    <w:rsid w:val="00E81C4A"/>
    <w:rsid w:val="00E81C52"/>
    <w:rsid w:val="00E823FE"/>
    <w:rsid w:val="00E82913"/>
    <w:rsid w:val="00E82A7A"/>
    <w:rsid w:val="00E836E8"/>
    <w:rsid w:val="00E84685"/>
    <w:rsid w:val="00E84854"/>
    <w:rsid w:val="00E86108"/>
    <w:rsid w:val="00E867B4"/>
    <w:rsid w:val="00E86D75"/>
    <w:rsid w:val="00E87DF9"/>
    <w:rsid w:val="00E87F29"/>
    <w:rsid w:val="00E9007E"/>
    <w:rsid w:val="00E917E1"/>
    <w:rsid w:val="00E9188D"/>
    <w:rsid w:val="00E9253B"/>
    <w:rsid w:val="00E927EE"/>
    <w:rsid w:val="00E92C22"/>
    <w:rsid w:val="00E92F00"/>
    <w:rsid w:val="00E939EA"/>
    <w:rsid w:val="00E9502A"/>
    <w:rsid w:val="00E9504C"/>
    <w:rsid w:val="00E950E7"/>
    <w:rsid w:val="00E95140"/>
    <w:rsid w:val="00E95803"/>
    <w:rsid w:val="00E958AB"/>
    <w:rsid w:val="00E95C8A"/>
    <w:rsid w:val="00E95D4D"/>
    <w:rsid w:val="00E9617E"/>
    <w:rsid w:val="00E9639D"/>
    <w:rsid w:val="00E963A5"/>
    <w:rsid w:val="00E9681D"/>
    <w:rsid w:val="00E96F59"/>
    <w:rsid w:val="00E97280"/>
    <w:rsid w:val="00E9758C"/>
    <w:rsid w:val="00E97592"/>
    <w:rsid w:val="00E976DA"/>
    <w:rsid w:val="00E979D5"/>
    <w:rsid w:val="00E97B93"/>
    <w:rsid w:val="00E97F4A"/>
    <w:rsid w:val="00E97FD7"/>
    <w:rsid w:val="00EA0BC9"/>
    <w:rsid w:val="00EA1536"/>
    <w:rsid w:val="00EA1584"/>
    <w:rsid w:val="00EA17EF"/>
    <w:rsid w:val="00EA29F9"/>
    <w:rsid w:val="00EA2A81"/>
    <w:rsid w:val="00EA3282"/>
    <w:rsid w:val="00EA336D"/>
    <w:rsid w:val="00EA34D4"/>
    <w:rsid w:val="00EA35D6"/>
    <w:rsid w:val="00EA36DE"/>
    <w:rsid w:val="00EA40E2"/>
    <w:rsid w:val="00EA43EF"/>
    <w:rsid w:val="00EA4B81"/>
    <w:rsid w:val="00EA52B3"/>
    <w:rsid w:val="00EA5F8D"/>
    <w:rsid w:val="00EA7477"/>
    <w:rsid w:val="00EA77F3"/>
    <w:rsid w:val="00EA7B9A"/>
    <w:rsid w:val="00EA7DD2"/>
    <w:rsid w:val="00EB00B3"/>
    <w:rsid w:val="00EB00FB"/>
    <w:rsid w:val="00EB0519"/>
    <w:rsid w:val="00EB2347"/>
    <w:rsid w:val="00EB2CB0"/>
    <w:rsid w:val="00EB2FBC"/>
    <w:rsid w:val="00EB32C1"/>
    <w:rsid w:val="00EB37C1"/>
    <w:rsid w:val="00EB3A17"/>
    <w:rsid w:val="00EB4229"/>
    <w:rsid w:val="00EB4900"/>
    <w:rsid w:val="00EB5D29"/>
    <w:rsid w:val="00EB5D6A"/>
    <w:rsid w:val="00EB66EB"/>
    <w:rsid w:val="00EB6E0B"/>
    <w:rsid w:val="00EB7636"/>
    <w:rsid w:val="00EB7B55"/>
    <w:rsid w:val="00EC0047"/>
    <w:rsid w:val="00EC039D"/>
    <w:rsid w:val="00EC0A9C"/>
    <w:rsid w:val="00EC0EDD"/>
    <w:rsid w:val="00EC17D1"/>
    <w:rsid w:val="00EC2373"/>
    <w:rsid w:val="00EC258D"/>
    <w:rsid w:val="00EC2D22"/>
    <w:rsid w:val="00EC37D0"/>
    <w:rsid w:val="00EC3805"/>
    <w:rsid w:val="00EC3A2A"/>
    <w:rsid w:val="00EC3F55"/>
    <w:rsid w:val="00EC48FF"/>
    <w:rsid w:val="00EC5019"/>
    <w:rsid w:val="00EC517C"/>
    <w:rsid w:val="00EC53C5"/>
    <w:rsid w:val="00EC5408"/>
    <w:rsid w:val="00EC5C29"/>
    <w:rsid w:val="00EC5D8C"/>
    <w:rsid w:val="00EC6039"/>
    <w:rsid w:val="00EC60A2"/>
    <w:rsid w:val="00EC6813"/>
    <w:rsid w:val="00EC6BA4"/>
    <w:rsid w:val="00EC78F8"/>
    <w:rsid w:val="00EC7A42"/>
    <w:rsid w:val="00EC7BF1"/>
    <w:rsid w:val="00EC7C23"/>
    <w:rsid w:val="00ED0125"/>
    <w:rsid w:val="00ED023B"/>
    <w:rsid w:val="00ED0D65"/>
    <w:rsid w:val="00ED0E15"/>
    <w:rsid w:val="00ED1857"/>
    <w:rsid w:val="00ED248A"/>
    <w:rsid w:val="00ED2FFD"/>
    <w:rsid w:val="00ED3573"/>
    <w:rsid w:val="00ED35A7"/>
    <w:rsid w:val="00ED3AD1"/>
    <w:rsid w:val="00ED3F33"/>
    <w:rsid w:val="00ED4068"/>
    <w:rsid w:val="00ED41D9"/>
    <w:rsid w:val="00ED488F"/>
    <w:rsid w:val="00ED4FC6"/>
    <w:rsid w:val="00ED5133"/>
    <w:rsid w:val="00ED5180"/>
    <w:rsid w:val="00ED55A5"/>
    <w:rsid w:val="00ED5AA6"/>
    <w:rsid w:val="00ED5FA5"/>
    <w:rsid w:val="00ED669C"/>
    <w:rsid w:val="00ED66C6"/>
    <w:rsid w:val="00ED6B51"/>
    <w:rsid w:val="00ED6C54"/>
    <w:rsid w:val="00ED6E65"/>
    <w:rsid w:val="00ED7FC9"/>
    <w:rsid w:val="00EE00AB"/>
    <w:rsid w:val="00EE0524"/>
    <w:rsid w:val="00EE0628"/>
    <w:rsid w:val="00EE0749"/>
    <w:rsid w:val="00EE08C6"/>
    <w:rsid w:val="00EE0A4B"/>
    <w:rsid w:val="00EE14ED"/>
    <w:rsid w:val="00EE2EC0"/>
    <w:rsid w:val="00EE4830"/>
    <w:rsid w:val="00EE4B72"/>
    <w:rsid w:val="00EE7314"/>
    <w:rsid w:val="00EE7647"/>
    <w:rsid w:val="00EE79C9"/>
    <w:rsid w:val="00EF00A5"/>
    <w:rsid w:val="00EF04C7"/>
    <w:rsid w:val="00EF07B3"/>
    <w:rsid w:val="00EF084A"/>
    <w:rsid w:val="00EF11C3"/>
    <w:rsid w:val="00EF1434"/>
    <w:rsid w:val="00EF263F"/>
    <w:rsid w:val="00EF39F9"/>
    <w:rsid w:val="00EF43B6"/>
    <w:rsid w:val="00EF44C4"/>
    <w:rsid w:val="00EF4D78"/>
    <w:rsid w:val="00EF553C"/>
    <w:rsid w:val="00EF5812"/>
    <w:rsid w:val="00EF6DFE"/>
    <w:rsid w:val="00EF6E86"/>
    <w:rsid w:val="00F0000F"/>
    <w:rsid w:val="00F003C0"/>
    <w:rsid w:val="00F00AF7"/>
    <w:rsid w:val="00F01066"/>
    <w:rsid w:val="00F02A1D"/>
    <w:rsid w:val="00F033E6"/>
    <w:rsid w:val="00F03444"/>
    <w:rsid w:val="00F036D9"/>
    <w:rsid w:val="00F03981"/>
    <w:rsid w:val="00F039A0"/>
    <w:rsid w:val="00F04CEE"/>
    <w:rsid w:val="00F05672"/>
    <w:rsid w:val="00F05B9C"/>
    <w:rsid w:val="00F05C95"/>
    <w:rsid w:val="00F05F9A"/>
    <w:rsid w:val="00F06201"/>
    <w:rsid w:val="00F06768"/>
    <w:rsid w:val="00F06BEB"/>
    <w:rsid w:val="00F06E00"/>
    <w:rsid w:val="00F0707B"/>
    <w:rsid w:val="00F07537"/>
    <w:rsid w:val="00F07694"/>
    <w:rsid w:val="00F079BC"/>
    <w:rsid w:val="00F07BDD"/>
    <w:rsid w:val="00F10190"/>
    <w:rsid w:val="00F108B2"/>
    <w:rsid w:val="00F11123"/>
    <w:rsid w:val="00F11F10"/>
    <w:rsid w:val="00F12440"/>
    <w:rsid w:val="00F12D19"/>
    <w:rsid w:val="00F1412A"/>
    <w:rsid w:val="00F1588F"/>
    <w:rsid w:val="00F15CDE"/>
    <w:rsid w:val="00F16418"/>
    <w:rsid w:val="00F16C66"/>
    <w:rsid w:val="00F16DEF"/>
    <w:rsid w:val="00F171EE"/>
    <w:rsid w:val="00F17BAE"/>
    <w:rsid w:val="00F210C9"/>
    <w:rsid w:val="00F21C48"/>
    <w:rsid w:val="00F22553"/>
    <w:rsid w:val="00F22FE4"/>
    <w:rsid w:val="00F230BD"/>
    <w:rsid w:val="00F237B9"/>
    <w:rsid w:val="00F2412E"/>
    <w:rsid w:val="00F243CA"/>
    <w:rsid w:val="00F251F5"/>
    <w:rsid w:val="00F25C2A"/>
    <w:rsid w:val="00F26111"/>
    <w:rsid w:val="00F26EFA"/>
    <w:rsid w:val="00F271DB"/>
    <w:rsid w:val="00F3062F"/>
    <w:rsid w:val="00F30E28"/>
    <w:rsid w:val="00F30EB9"/>
    <w:rsid w:val="00F31089"/>
    <w:rsid w:val="00F3113F"/>
    <w:rsid w:val="00F31D4A"/>
    <w:rsid w:val="00F32621"/>
    <w:rsid w:val="00F32633"/>
    <w:rsid w:val="00F3385A"/>
    <w:rsid w:val="00F34079"/>
    <w:rsid w:val="00F34F35"/>
    <w:rsid w:val="00F353CB"/>
    <w:rsid w:val="00F35580"/>
    <w:rsid w:val="00F359C8"/>
    <w:rsid w:val="00F35B8A"/>
    <w:rsid w:val="00F3676B"/>
    <w:rsid w:val="00F3679D"/>
    <w:rsid w:val="00F36E08"/>
    <w:rsid w:val="00F36E4A"/>
    <w:rsid w:val="00F36FAB"/>
    <w:rsid w:val="00F37506"/>
    <w:rsid w:val="00F37B0A"/>
    <w:rsid w:val="00F37CFE"/>
    <w:rsid w:val="00F41084"/>
    <w:rsid w:val="00F410A3"/>
    <w:rsid w:val="00F41ACC"/>
    <w:rsid w:val="00F41C54"/>
    <w:rsid w:val="00F42328"/>
    <w:rsid w:val="00F423BA"/>
    <w:rsid w:val="00F42671"/>
    <w:rsid w:val="00F42A2E"/>
    <w:rsid w:val="00F42E8F"/>
    <w:rsid w:val="00F4395B"/>
    <w:rsid w:val="00F43CDB"/>
    <w:rsid w:val="00F43D13"/>
    <w:rsid w:val="00F44FCF"/>
    <w:rsid w:val="00F457BE"/>
    <w:rsid w:val="00F4597A"/>
    <w:rsid w:val="00F45992"/>
    <w:rsid w:val="00F46220"/>
    <w:rsid w:val="00F466D9"/>
    <w:rsid w:val="00F4672F"/>
    <w:rsid w:val="00F46FEB"/>
    <w:rsid w:val="00F47172"/>
    <w:rsid w:val="00F4786C"/>
    <w:rsid w:val="00F47914"/>
    <w:rsid w:val="00F50327"/>
    <w:rsid w:val="00F50CB0"/>
    <w:rsid w:val="00F51031"/>
    <w:rsid w:val="00F51072"/>
    <w:rsid w:val="00F5155E"/>
    <w:rsid w:val="00F52196"/>
    <w:rsid w:val="00F52A69"/>
    <w:rsid w:val="00F52EE3"/>
    <w:rsid w:val="00F53AB6"/>
    <w:rsid w:val="00F53CA2"/>
    <w:rsid w:val="00F53D34"/>
    <w:rsid w:val="00F53E57"/>
    <w:rsid w:val="00F5400A"/>
    <w:rsid w:val="00F542CF"/>
    <w:rsid w:val="00F54657"/>
    <w:rsid w:val="00F54B88"/>
    <w:rsid w:val="00F55E6F"/>
    <w:rsid w:val="00F562D0"/>
    <w:rsid w:val="00F565C3"/>
    <w:rsid w:val="00F569D4"/>
    <w:rsid w:val="00F56DC0"/>
    <w:rsid w:val="00F56F87"/>
    <w:rsid w:val="00F5770E"/>
    <w:rsid w:val="00F5790E"/>
    <w:rsid w:val="00F57B6A"/>
    <w:rsid w:val="00F57BA8"/>
    <w:rsid w:val="00F57C79"/>
    <w:rsid w:val="00F6012A"/>
    <w:rsid w:val="00F60230"/>
    <w:rsid w:val="00F60452"/>
    <w:rsid w:val="00F607F6"/>
    <w:rsid w:val="00F60A0D"/>
    <w:rsid w:val="00F612C8"/>
    <w:rsid w:val="00F6156A"/>
    <w:rsid w:val="00F61DE6"/>
    <w:rsid w:val="00F61F53"/>
    <w:rsid w:val="00F623F9"/>
    <w:rsid w:val="00F62446"/>
    <w:rsid w:val="00F6257E"/>
    <w:rsid w:val="00F625BC"/>
    <w:rsid w:val="00F62F26"/>
    <w:rsid w:val="00F63C28"/>
    <w:rsid w:val="00F647F4"/>
    <w:rsid w:val="00F6549F"/>
    <w:rsid w:val="00F66396"/>
    <w:rsid w:val="00F66A3B"/>
    <w:rsid w:val="00F66EC9"/>
    <w:rsid w:val="00F66FE7"/>
    <w:rsid w:val="00F676D7"/>
    <w:rsid w:val="00F7000C"/>
    <w:rsid w:val="00F71008"/>
    <w:rsid w:val="00F71582"/>
    <w:rsid w:val="00F71982"/>
    <w:rsid w:val="00F725A5"/>
    <w:rsid w:val="00F72750"/>
    <w:rsid w:val="00F72935"/>
    <w:rsid w:val="00F72BD6"/>
    <w:rsid w:val="00F73B8E"/>
    <w:rsid w:val="00F741F2"/>
    <w:rsid w:val="00F7429E"/>
    <w:rsid w:val="00F74975"/>
    <w:rsid w:val="00F752D2"/>
    <w:rsid w:val="00F756F4"/>
    <w:rsid w:val="00F75823"/>
    <w:rsid w:val="00F75838"/>
    <w:rsid w:val="00F75980"/>
    <w:rsid w:val="00F76A17"/>
    <w:rsid w:val="00F77208"/>
    <w:rsid w:val="00F77B60"/>
    <w:rsid w:val="00F77B6E"/>
    <w:rsid w:val="00F77DC4"/>
    <w:rsid w:val="00F77E16"/>
    <w:rsid w:val="00F805A7"/>
    <w:rsid w:val="00F80624"/>
    <w:rsid w:val="00F806D9"/>
    <w:rsid w:val="00F806E6"/>
    <w:rsid w:val="00F809AD"/>
    <w:rsid w:val="00F81894"/>
    <w:rsid w:val="00F81960"/>
    <w:rsid w:val="00F81978"/>
    <w:rsid w:val="00F82945"/>
    <w:rsid w:val="00F84A25"/>
    <w:rsid w:val="00F84A29"/>
    <w:rsid w:val="00F84AB2"/>
    <w:rsid w:val="00F84E6D"/>
    <w:rsid w:val="00F85014"/>
    <w:rsid w:val="00F85A04"/>
    <w:rsid w:val="00F8661D"/>
    <w:rsid w:val="00F86BB6"/>
    <w:rsid w:val="00F86FEF"/>
    <w:rsid w:val="00F87C66"/>
    <w:rsid w:val="00F90058"/>
    <w:rsid w:val="00F9011F"/>
    <w:rsid w:val="00F90477"/>
    <w:rsid w:val="00F9080A"/>
    <w:rsid w:val="00F90F6E"/>
    <w:rsid w:val="00F913C1"/>
    <w:rsid w:val="00F91475"/>
    <w:rsid w:val="00F915C3"/>
    <w:rsid w:val="00F92720"/>
    <w:rsid w:val="00F92AEA"/>
    <w:rsid w:val="00F93303"/>
    <w:rsid w:val="00F93BAB"/>
    <w:rsid w:val="00F94141"/>
    <w:rsid w:val="00F947EE"/>
    <w:rsid w:val="00F953F7"/>
    <w:rsid w:val="00F956F1"/>
    <w:rsid w:val="00F9606C"/>
    <w:rsid w:val="00F9626F"/>
    <w:rsid w:val="00F965A8"/>
    <w:rsid w:val="00F965C4"/>
    <w:rsid w:val="00F96A8C"/>
    <w:rsid w:val="00F96FDD"/>
    <w:rsid w:val="00F975B1"/>
    <w:rsid w:val="00F979E1"/>
    <w:rsid w:val="00F97BDE"/>
    <w:rsid w:val="00F97E0E"/>
    <w:rsid w:val="00F97F52"/>
    <w:rsid w:val="00FA0FC5"/>
    <w:rsid w:val="00FA1073"/>
    <w:rsid w:val="00FA10EA"/>
    <w:rsid w:val="00FA130B"/>
    <w:rsid w:val="00FA1BB8"/>
    <w:rsid w:val="00FA23C3"/>
    <w:rsid w:val="00FA28D1"/>
    <w:rsid w:val="00FA2963"/>
    <w:rsid w:val="00FA2964"/>
    <w:rsid w:val="00FA2A82"/>
    <w:rsid w:val="00FA2E30"/>
    <w:rsid w:val="00FA2FBB"/>
    <w:rsid w:val="00FA317A"/>
    <w:rsid w:val="00FA3241"/>
    <w:rsid w:val="00FA34A6"/>
    <w:rsid w:val="00FA39FE"/>
    <w:rsid w:val="00FA5090"/>
    <w:rsid w:val="00FA538B"/>
    <w:rsid w:val="00FA5443"/>
    <w:rsid w:val="00FA5A84"/>
    <w:rsid w:val="00FA67E4"/>
    <w:rsid w:val="00FA72A2"/>
    <w:rsid w:val="00FA7859"/>
    <w:rsid w:val="00FA7E14"/>
    <w:rsid w:val="00FB035F"/>
    <w:rsid w:val="00FB084F"/>
    <w:rsid w:val="00FB10F1"/>
    <w:rsid w:val="00FB154A"/>
    <w:rsid w:val="00FB2D10"/>
    <w:rsid w:val="00FB2EBD"/>
    <w:rsid w:val="00FB30E6"/>
    <w:rsid w:val="00FB3467"/>
    <w:rsid w:val="00FB3561"/>
    <w:rsid w:val="00FB35DE"/>
    <w:rsid w:val="00FB3E3D"/>
    <w:rsid w:val="00FB3F5B"/>
    <w:rsid w:val="00FB4117"/>
    <w:rsid w:val="00FB43A0"/>
    <w:rsid w:val="00FB4635"/>
    <w:rsid w:val="00FB48D4"/>
    <w:rsid w:val="00FB51B9"/>
    <w:rsid w:val="00FB5BBF"/>
    <w:rsid w:val="00FB65C9"/>
    <w:rsid w:val="00FB6FFD"/>
    <w:rsid w:val="00FB734D"/>
    <w:rsid w:val="00FB7DA7"/>
    <w:rsid w:val="00FC0871"/>
    <w:rsid w:val="00FC08D7"/>
    <w:rsid w:val="00FC0AE3"/>
    <w:rsid w:val="00FC0CF2"/>
    <w:rsid w:val="00FC0EAE"/>
    <w:rsid w:val="00FC13CF"/>
    <w:rsid w:val="00FC16BB"/>
    <w:rsid w:val="00FC17C7"/>
    <w:rsid w:val="00FC2012"/>
    <w:rsid w:val="00FC27B2"/>
    <w:rsid w:val="00FC27D9"/>
    <w:rsid w:val="00FC34E2"/>
    <w:rsid w:val="00FC351C"/>
    <w:rsid w:val="00FC3710"/>
    <w:rsid w:val="00FC3997"/>
    <w:rsid w:val="00FC4012"/>
    <w:rsid w:val="00FC4E3C"/>
    <w:rsid w:val="00FC4F42"/>
    <w:rsid w:val="00FC5373"/>
    <w:rsid w:val="00FC5A36"/>
    <w:rsid w:val="00FC61D6"/>
    <w:rsid w:val="00FC6349"/>
    <w:rsid w:val="00FC64F5"/>
    <w:rsid w:val="00FC6999"/>
    <w:rsid w:val="00FC6D39"/>
    <w:rsid w:val="00FC78E9"/>
    <w:rsid w:val="00FC7970"/>
    <w:rsid w:val="00FD0318"/>
    <w:rsid w:val="00FD03A8"/>
    <w:rsid w:val="00FD05BC"/>
    <w:rsid w:val="00FD0800"/>
    <w:rsid w:val="00FD0C13"/>
    <w:rsid w:val="00FD1244"/>
    <w:rsid w:val="00FD1E79"/>
    <w:rsid w:val="00FD2247"/>
    <w:rsid w:val="00FD3D3B"/>
    <w:rsid w:val="00FD3EE5"/>
    <w:rsid w:val="00FD4046"/>
    <w:rsid w:val="00FD441A"/>
    <w:rsid w:val="00FD513F"/>
    <w:rsid w:val="00FD5A75"/>
    <w:rsid w:val="00FD5C8B"/>
    <w:rsid w:val="00FD5DC9"/>
    <w:rsid w:val="00FD6C71"/>
    <w:rsid w:val="00FD72B8"/>
    <w:rsid w:val="00FD776C"/>
    <w:rsid w:val="00FE00A0"/>
    <w:rsid w:val="00FE0207"/>
    <w:rsid w:val="00FE04C3"/>
    <w:rsid w:val="00FE24A6"/>
    <w:rsid w:val="00FE2728"/>
    <w:rsid w:val="00FE41CB"/>
    <w:rsid w:val="00FE4580"/>
    <w:rsid w:val="00FE4FF1"/>
    <w:rsid w:val="00FE519C"/>
    <w:rsid w:val="00FE559B"/>
    <w:rsid w:val="00FE57C2"/>
    <w:rsid w:val="00FE58DA"/>
    <w:rsid w:val="00FE5A74"/>
    <w:rsid w:val="00FE65B1"/>
    <w:rsid w:val="00FE7836"/>
    <w:rsid w:val="00FF00BE"/>
    <w:rsid w:val="00FF0307"/>
    <w:rsid w:val="00FF0F10"/>
    <w:rsid w:val="00FF2939"/>
    <w:rsid w:val="00FF2A80"/>
    <w:rsid w:val="00FF2F36"/>
    <w:rsid w:val="00FF32A1"/>
    <w:rsid w:val="00FF3E16"/>
    <w:rsid w:val="00FF41BA"/>
    <w:rsid w:val="00FF4E89"/>
    <w:rsid w:val="00FF4EE4"/>
    <w:rsid w:val="00FF4F2A"/>
    <w:rsid w:val="00FF57E7"/>
    <w:rsid w:val="00FF60E9"/>
    <w:rsid w:val="00FF66E5"/>
    <w:rsid w:val="00FF69D7"/>
    <w:rsid w:val="00FF6A24"/>
    <w:rsid w:val="00FF7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4789A7"/>
  <w15:chartTrackingRefBased/>
  <w15:docId w15:val="{B1227A00-AFE3-4728-8362-B67F84AF8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46EB"/>
    <w:pPr>
      <w:widowControl w:val="0"/>
      <w:spacing w:after="0" w:line="240" w:lineRule="auto"/>
    </w:pPr>
    <w:rPr>
      <w:rFonts w:ascii="Times New Roman" w:hAnsi="Times New Roman" w:cs="Times New Roman"/>
      <w:sz w:val="26"/>
    </w:rPr>
  </w:style>
  <w:style w:type="paragraph" w:styleId="Heading1">
    <w:name w:val="heading 1"/>
    <w:basedOn w:val="Normal"/>
    <w:next w:val="FERCparanumber"/>
    <w:link w:val="Heading1Char"/>
    <w:uiPriority w:val="9"/>
    <w:qFormat/>
    <w:rsid w:val="00A5227A"/>
    <w:pPr>
      <w:keepNext/>
      <w:keepLines/>
      <w:widowControl/>
      <w:numPr>
        <w:numId w:val="15"/>
      </w:numPr>
      <w:spacing w:after="260"/>
      <w:outlineLvl w:val="0"/>
    </w:pPr>
    <w:rPr>
      <w:rFonts w:eastAsiaTheme="majorEastAsia"/>
      <w:b/>
      <w:kern w:val="32"/>
      <w:szCs w:val="32"/>
      <w:u w:val="single"/>
    </w:rPr>
  </w:style>
  <w:style w:type="paragraph" w:styleId="Heading2">
    <w:name w:val="heading 2"/>
    <w:basedOn w:val="Normal"/>
    <w:next w:val="FERCparanumber"/>
    <w:link w:val="Heading2Char"/>
    <w:uiPriority w:val="9"/>
    <w:unhideWhenUsed/>
    <w:qFormat/>
    <w:rsid w:val="00A5227A"/>
    <w:pPr>
      <w:keepNext/>
      <w:keepLines/>
      <w:widowControl/>
      <w:numPr>
        <w:ilvl w:val="1"/>
        <w:numId w:val="15"/>
      </w:numPr>
      <w:spacing w:after="260"/>
      <w:outlineLvl w:val="1"/>
    </w:pPr>
    <w:rPr>
      <w:rFonts w:eastAsiaTheme="majorEastAsia"/>
      <w:b/>
      <w:kern w:val="32"/>
      <w:szCs w:val="26"/>
      <w:u w:val="single"/>
    </w:rPr>
  </w:style>
  <w:style w:type="paragraph" w:styleId="Heading3">
    <w:name w:val="heading 3"/>
    <w:basedOn w:val="Normal"/>
    <w:next w:val="FERCparanumber"/>
    <w:link w:val="Heading3Char"/>
    <w:uiPriority w:val="9"/>
    <w:unhideWhenUsed/>
    <w:qFormat/>
    <w:rsid w:val="00A5227A"/>
    <w:pPr>
      <w:keepNext/>
      <w:keepLines/>
      <w:widowControl/>
      <w:numPr>
        <w:ilvl w:val="2"/>
        <w:numId w:val="15"/>
      </w:numPr>
      <w:tabs>
        <w:tab w:val="clear" w:pos="1710"/>
        <w:tab w:val="num" w:pos="2160"/>
      </w:tabs>
      <w:spacing w:after="260"/>
      <w:ind w:left="2160"/>
      <w:outlineLvl w:val="2"/>
    </w:pPr>
    <w:rPr>
      <w:rFonts w:eastAsiaTheme="majorEastAsia"/>
      <w:b/>
      <w:kern w:val="32"/>
      <w:szCs w:val="24"/>
      <w:u w:val="single"/>
    </w:rPr>
  </w:style>
  <w:style w:type="paragraph" w:styleId="Heading4">
    <w:name w:val="heading 4"/>
    <w:basedOn w:val="Normal"/>
    <w:next w:val="FERCparanumber"/>
    <w:link w:val="Heading4Char"/>
    <w:uiPriority w:val="9"/>
    <w:unhideWhenUsed/>
    <w:qFormat/>
    <w:rsid w:val="002261B3"/>
    <w:pPr>
      <w:keepNext/>
      <w:keepLines/>
      <w:widowControl/>
      <w:numPr>
        <w:ilvl w:val="3"/>
        <w:numId w:val="15"/>
      </w:numPr>
      <w:spacing w:after="260"/>
      <w:outlineLvl w:val="3"/>
    </w:pPr>
    <w:rPr>
      <w:rFonts w:eastAsiaTheme="majorEastAsia"/>
      <w:b/>
      <w:iCs/>
      <w:kern w:val="32"/>
      <w:u w:val="single"/>
    </w:rPr>
  </w:style>
  <w:style w:type="paragraph" w:styleId="Heading5">
    <w:name w:val="heading 5"/>
    <w:basedOn w:val="Normal"/>
    <w:next w:val="FERCparanumber"/>
    <w:uiPriority w:val="9"/>
    <w:unhideWhenUsed/>
    <w:qFormat/>
    <w:rsid w:val="002261B3"/>
    <w:pPr>
      <w:keepNext/>
      <w:keepLines/>
      <w:widowControl/>
      <w:numPr>
        <w:ilvl w:val="4"/>
        <w:numId w:val="15"/>
      </w:numPr>
      <w:tabs>
        <w:tab w:val="clear" w:pos="3600"/>
      </w:tabs>
      <w:spacing w:after="260"/>
      <w:ind w:left="3960" w:hanging="360"/>
      <w:outlineLvl w:val="4"/>
    </w:pPr>
    <w:rPr>
      <w:rFonts w:eastAsiaTheme="majorEastAsia"/>
      <w:b/>
      <w:kern w:val="32"/>
      <w:u w:val="single"/>
    </w:rPr>
  </w:style>
  <w:style w:type="paragraph" w:styleId="Heading6">
    <w:name w:val="heading 6"/>
    <w:basedOn w:val="Normal"/>
    <w:next w:val="FERCparanumber"/>
    <w:uiPriority w:val="9"/>
    <w:unhideWhenUsed/>
    <w:qFormat/>
    <w:rsid w:val="00A5227A"/>
    <w:pPr>
      <w:keepNext/>
      <w:keepLines/>
      <w:widowControl/>
      <w:numPr>
        <w:ilvl w:val="5"/>
        <w:numId w:val="15"/>
      </w:numPr>
      <w:tabs>
        <w:tab w:val="clear" w:pos="4320"/>
      </w:tabs>
      <w:spacing w:after="260"/>
      <w:ind w:left="4680" w:hanging="180"/>
      <w:outlineLvl w:val="5"/>
    </w:pPr>
    <w:rPr>
      <w:rFonts w:eastAsiaTheme="majorEastAsia"/>
      <w:b/>
      <w:kern w:val="32"/>
      <w:u w:val="single"/>
    </w:rPr>
  </w:style>
  <w:style w:type="paragraph" w:styleId="Heading7">
    <w:name w:val="heading 7"/>
    <w:basedOn w:val="Normal"/>
    <w:next w:val="FERCparanumber"/>
    <w:uiPriority w:val="9"/>
    <w:unhideWhenUsed/>
    <w:qFormat/>
    <w:rsid w:val="00A5227A"/>
    <w:pPr>
      <w:keepNext/>
      <w:keepLines/>
      <w:widowControl/>
      <w:numPr>
        <w:ilvl w:val="6"/>
        <w:numId w:val="15"/>
      </w:numPr>
      <w:tabs>
        <w:tab w:val="clear" w:pos="5040"/>
      </w:tabs>
      <w:spacing w:after="260"/>
      <w:ind w:left="5400" w:hanging="360"/>
      <w:outlineLvl w:val="6"/>
    </w:pPr>
    <w:rPr>
      <w:rFonts w:eastAsiaTheme="majorEastAsia"/>
      <w:b/>
      <w:iCs/>
      <w:kern w:val="32"/>
      <w:u w:val="single"/>
    </w:rPr>
  </w:style>
  <w:style w:type="paragraph" w:styleId="Heading8">
    <w:name w:val="heading 8"/>
    <w:basedOn w:val="Normal"/>
    <w:next w:val="FERCparanumber"/>
    <w:uiPriority w:val="9"/>
    <w:semiHidden/>
    <w:unhideWhenUsed/>
    <w:qFormat/>
    <w:rsid w:val="00A5227A"/>
    <w:pPr>
      <w:keepNext/>
      <w:keepLines/>
      <w:widowControl/>
      <w:numPr>
        <w:ilvl w:val="7"/>
        <w:numId w:val="15"/>
      </w:numPr>
      <w:tabs>
        <w:tab w:val="clear" w:pos="5760"/>
      </w:tabs>
      <w:spacing w:after="260"/>
      <w:ind w:left="6120" w:hanging="360"/>
      <w:outlineLvl w:val="7"/>
    </w:pPr>
    <w:rPr>
      <w:rFonts w:eastAsiaTheme="majorEastAsia"/>
      <w:b/>
      <w:kern w:val="32"/>
      <w:szCs w:val="21"/>
      <w:u w:val="single"/>
    </w:rPr>
  </w:style>
  <w:style w:type="paragraph" w:styleId="Heading9">
    <w:name w:val="heading 9"/>
    <w:basedOn w:val="Normal"/>
    <w:next w:val="FERCparanumber"/>
    <w:uiPriority w:val="9"/>
    <w:semiHidden/>
    <w:unhideWhenUsed/>
    <w:qFormat/>
    <w:rsid w:val="00A5227A"/>
    <w:pPr>
      <w:keepNext/>
      <w:keepLines/>
      <w:widowControl/>
      <w:numPr>
        <w:ilvl w:val="8"/>
        <w:numId w:val="15"/>
      </w:numPr>
      <w:tabs>
        <w:tab w:val="clear" w:pos="6480"/>
      </w:tabs>
      <w:spacing w:after="260"/>
      <w:ind w:left="6840" w:hanging="180"/>
      <w:outlineLvl w:val="8"/>
    </w:pPr>
    <w:rPr>
      <w:rFonts w:eastAsiaTheme="majorEastAsia"/>
      <w:b/>
      <w:iCs/>
      <w:kern w:val="32"/>
      <w:szCs w:val="21"/>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yTOC1">
    <w:name w:val="myTOC 1"/>
    <w:basedOn w:val="Normal"/>
    <w:next w:val="Normal"/>
    <w:rsid w:val="004C456B"/>
    <w:pPr>
      <w:tabs>
        <w:tab w:val="right" w:leader="dot" w:pos="9360"/>
      </w:tabs>
      <w:autoSpaceDE w:val="0"/>
      <w:autoSpaceDN w:val="0"/>
      <w:adjustRightInd w:val="0"/>
      <w:spacing w:before="120"/>
    </w:pPr>
    <w:rPr>
      <w:rFonts w:eastAsia="Times New Roman"/>
      <w:szCs w:val="26"/>
    </w:rPr>
  </w:style>
  <w:style w:type="paragraph" w:customStyle="1" w:styleId="myTOC2">
    <w:name w:val="myTOC 2"/>
    <w:basedOn w:val="Normal"/>
    <w:next w:val="Normal"/>
    <w:rsid w:val="004C456B"/>
    <w:pPr>
      <w:tabs>
        <w:tab w:val="right" w:leader="dot" w:pos="9360"/>
      </w:tabs>
      <w:autoSpaceDE w:val="0"/>
      <w:autoSpaceDN w:val="0"/>
      <w:adjustRightInd w:val="0"/>
      <w:ind w:left="288"/>
    </w:pPr>
    <w:rPr>
      <w:rFonts w:eastAsia="Times New Roman"/>
      <w:szCs w:val="26"/>
    </w:rPr>
  </w:style>
  <w:style w:type="paragraph" w:customStyle="1" w:styleId="myTOC3">
    <w:name w:val="myTOC 3"/>
    <w:basedOn w:val="Normal"/>
    <w:next w:val="Normal"/>
    <w:rsid w:val="004C456B"/>
    <w:pPr>
      <w:tabs>
        <w:tab w:val="right" w:leader="dot" w:pos="9360"/>
      </w:tabs>
      <w:autoSpaceDE w:val="0"/>
      <w:autoSpaceDN w:val="0"/>
      <w:adjustRightInd w:val="0"/>
      <w:ind w:left="576"/>
    </w:pPr>
    <w:rPr>
      <w:rFonts w:eastAsia="Times New Roman"/>
      <w:szCs w:val="26"/>
    </w:rPr>
  </w:style>
  <w:style w:type="paragraph" w:customStyle="1" w:styleId="myTOC4">
    <w:name w:val="myTOC 4"/>
    <w:basedOn w:val="Normal"/>
    <w:next w:val="Normal"/>
    <w:rsid w:val="004C456B"/>
    <w:pPr>
      <w:tabs>
        <w:tab w:val="right" w:leader="dot" w:pos="9360"/>
      </w:tabs>
      <w:autoSpaceDE w:val="0"/>
      <w:autoSpaceDN w:val="0"/>
      <w:adjustRightInd w:val="0"/>
      <w:ind w:left="864"/>
    </w:pPr>
    <w:rPr>
      <w:rFonts w:eastAsia="Times New Roman"/>
      <w:szCs w:val="26"/>
    </w:rPr>
  </w:style>
  <w:style w:type="paragraph" w:customStyle="1" w:styleId="myTOC5">
    <w:name w:val="myTOC 5"/>
    <w:basedOn w:val="Normal"/>
    <w:next w:val="Normal"/>
    <w:rsid w:val="004C456B"/>
    <w:pPr>
      <w:tabs>
        <w:tab w:val="right" w:leader="dot" w:pos="9360"/>
      </w:tabs>
      <w:autoSpaceDE w:val="0"/>
      <w:autoSpaceDN w:val="0"/>
      <w:adjustRightInd w:val="0"/>
      <w:ind w:left="1152"/>
    </w:pPr>
    <w:rPr>
      <w:rFonts w:eastAsia="Times New Roman"/>
      <w:szCs w:val="26"/>
    </w:rPr>
  </w:style>
  <w:style w:type="paragraph" w:customStyle="1" w:styleId="myTOC6">
    <w:name w:val="myTOC 6"/>
    <w:basedOn w:val="Normal"/>
    <w:next w:val="Normal"/>
    <w:rsid w:val="004C456B"/>
    <w:pPr>
      <w:tabs>
        <w:tab w:val="right" w:leader="dot" w:pos="9360"/>
      </w:tabs>
      <w:ind w:left="1440"/>
    </w:pPr>
    <w:rPr>
      <w:rFonts w:eastAsia="Times New Roman"/>
      <w:szCs w:val="26"/>
    </w:rPr>
  </w:style>
  <w:style w:type="paragraph" w:customStyle="1" w:styleId="myTOC7">
    <w:name w:val="myTOC 7"/>
    <w:basedOn w:val="Normal"/>
    <w:next w:val="Normal"/>
    <w:rsid w:val="004C456B"/>
    <w:pPr>
      <w:tabs>
        <w:tab w:val="right" w:leader="dot" w:pos="9360"/>
      </w:tabs>
      <w:ind w:left="1728"/>
    </w:pPr>
    <w:rPr>
      <w:rFonts w:eastAsia="Times New Roman"/>
      <w:szCs w:val="26"/>
    </w:rPr>
  </w:style>
  <w:style w:type="paragraph" w:customStyle="1" w:styleId="myTOC8">
    <w:name w:val="myTOC 8"/>
    <w:basedOn w:val="Normal"/>
    <w:next w:val="Normal"/>
    <w:rsid w:val="004C456B"/>
    <w:pPr>
      <w:tabs>
        <w:tab w:val="right" w:leader="dot" w:pos="9360"/>
      </w:tabs>
      <w:ind w:left="2016"/>
    </w:pPr>
    <w:rPr>
      <w:rFonts w:eastAsia="Times New Roman"/>
      <w:szCs w:val="26"/>
    </w:rPr>
  </w:style>
  <w:style w:type="paragraph" w:customStyle="1" w:styleId="myTOC9">
    <w:name w:val="myTOC 9"/>
    <w:basedOn w:val="Normal"/>
    <w:next w:val="Normal"/>
    <w:rsid w:val="004C456B"/>
    <w:pPr>
      <w:tabs>
        <w:tab w:val="right" w:leader="dot" w:pos="9360"/>
      </w:tabs>
      <w:ind w:left="2304"/>
    </w:pPr>
    <w:rPr>
      <w:rFonts w:eastAsia="Times New Roman"/>
      <w:szCs w:val="26"/>
    </w:rPr>
  </w:style>
  <w:style w:type="paragraph" w:customStyle="1" w:styleId="Non-TOCStyle">
    <w:name w:val="Non-TOC Style"/>
    <w:basedOn w:val="Normal"/>
    <w:next w:val="FERCparanumber"/>
    <w:rsid w:val="004C456B"/>
    <w:pPr>
      <w:keepNext/>
      <w:keepLines/>
      <w:numPr>
        <w:numId w:val="21"/>
      </w:numPr>
      <w:autoSpaceDE w:val="0"/>
      <w:autoSpaceDN w:val="0"/>
      <w:adjustRightInd w:val="0"/>
      <w:jc w:val="center"/>
      <w:outlineLvl w:val="4"/>
    </w:pPr>
    <w:rPr>
      <w:rFonts w:eastAsia="Times New Roman"/>
      <w:b/>
      <w:szCs w:val="26"/>
      <w:u w:val="single"/>
    </w:rPr>
  </w:style>
  <w:style w:type="paragraph" w:styleId="BalloonText">
    <w:name w:val="Balloon Text"/>
    <w:basedOn w:val="Normal"/>
    <w:link w:val="BalloonTextChar"/>
    <w:uiPriority w:val="99"/>
    <w:semiHidden/>
    <w:unhideWhenUsed/>
    <w:rsid w:val="00CE7F13"/>
    <w:rPr>
      <w:rFonts w:ascii="Arial" w:hAnsi="Arial" w:cs="Arial"/>
      <w:sz w:val="20"/>
      <w:szCs w:val="18"/>
    </w:rPr>
  </w:style>
  <w:style w:type="character" w:customStyle="1" w:styleId="BalloonTextChar">
    <w:name w:val="Balloon Text Char"/>
    <w:basedOn w:val="DefaultParagraphFont"/>
    <w:link w:val="BalloonText"/>
    <w:uiPriority w:val="99"/>
    <w:semiHidden/>
    <w:rsid w:val="00CE7F13"/>
    <w:rPr>
      <w:rFonts w:ascii="Arial" w:hAnsi="Arial" w:cs="Arial"/>
      <w:sz w:val="20"/>
      <w:szCs w:val="18"/>
    </w:rPr>
  </w:style>
  <w:style w:type="paragraph" w:styleId="Bibliography">
    <w:name w:val="Bibliography"/>
    <w:basedOn w:val="Normal"/>
    <w:next w:val="Normal"/>
    <w:uiPriority w:val="37"/>
    <w:semiHidden/>
    <w:unhideWhenUsed/>
    <w:rsid w:val="00CE7F13"/>
  </w:style>
  <w:style w:type="paragraph" w:styleId="BlockText">
    <w:name w:val="Block Text"/>
    <w:basedOn w:val="Normal"/>
    <w:uiPriority w:val="99"/>
    <w:semiHidden/>
    <w:unhideWhenUsed/>
    <w:rsid w:val="00CE7F13"/>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eastAsiaTheme="minorEastAsia"/>
      <w:i/>
      <w:iCs/>
      <w:color w:val="5B9BD5" w:themeColor="accent1"/>
    </w:rPr>
  </w:style>
  <w:style w:type="paragraph" w:styleId="BodyText">
    <w:name w:val="Body Text"/>
    <w:basedOn w:val="Normal"/>
    <w:link w:val="BodyTextChar"/>
    <w:uiPriority w:val="99"/>
    <w:unhideWhenUsed/>
    <w:rsid w:val="009E214D"/>
    <w:pPr>
      <w:spacing w:after="240"/>
      <w:ind w:firstLine="720"/>
    </w:pPr>
  </w:style>
  <w:style w:type="character" w:customStyle="1" w:styleId="BodyTextChar">
    <w:name w:val="Body Text Char"/>
    <w:basedOn w:val="DefaultParagraphFont"/>
    <w:link w:val="BodyText"/>
    <w:uiPriority w:val="99"/>
    <w:rsid w:val="009E214D"/>
    <w:rPr>
      <w:rFonts w:ascii="Times New Roman" w:hAnsi="Times New Roman"/>
      <w:sz w:val="26"/>
    </w:rPr>
  </w:style>
  <w:style w:type="paragraph" w:styleId="BodyText2">
    <w:name w:val="Body Text 2"/>
    <w:basedOn w:val="Normal"/>
    <w:link w:val="BodyText2Char"/>
    <w:uiPriority w:val="99"/>
    <w:semiHidden/>
    <w:unhideWhenUsed/>
    <w:rsid w:val="00CE7F13"/>
    <w:pPr>
      <w:spacing w:after="120" w:line="480" w:lineRule="auto"/>
    </w:pPr>
  </w:style>
  <w:style w:type="character" w:customStyle="1" w:styleId="BodyText2Char">
    <w:name w:val="Body Text 2 Char"/>
    <w:basedOn w:val="DefaultParagraphFont"/>
    <w:link w:val="BodyText2"/>
    <w:uiPriority w:val="99"/>
    <w:semiHidden/>
    <w:rsid w:val="00CE7F13"/>
  </w:style>
  <w:style w:type="paragraph" w:styleId="BodyText3">
    <w:name w:val="Body Text 3"/>
    <w:basedOn w:val="Normal"/>
    <w:link w:val="BodyText3Char"/>
    <w:uiPriority w:val="99"/>
    <w:semiHidden/>
    <w:unhideWhenUsed/>
    <w:rsid w:val="00CE7F13"/>
    <w:pPr>
      <w:spacing w:after="120"/>
    </w:pPr>
    <w:rPr>
      <w:sz w:val="16"/>
      <w:szCs w:val="16"/>
    </w:rPr>
  </w:style>
  <w:style w:type="character" w:customStyle="1" w:styleId="BodyText3Char">
    <w:name w:val="Body Text 3 Char"/>
    <w:basedOn w:val="DefaultParagraphFont"/>
    <w:link w:val="BodyText3"/>
    <w:uiPriority w:val="99"/>
    <w:semiHidden/>
    <w:rsid w:val="00CE7F13"/>
    <w:rPr>
      <w:sz w:val="16"/>
      <w:szCs w:val="16"/>
    </w:rPr>
  </w:style>
  <w:style w:type="paragraph" w:styleId="BodyTextFirstIndent">
    <w:name w:val="Body Text First Indent"/>
    <w:basedOn w:val="BodyText"/>
    <w:link w:val="BodyTextFirstIndentChar"/>
    <w:uiPriority w:val="99"/>
    <w:semiHidden/>
    <w:unhideWhenUsed/>
    <w:rsid w:val="00CE7F13"/>
    <w:pPr>
      <w:spacing w:after="160"/>
      <w:ind w:firstLine="360"/>
    </w:pPr>
  </w:style>
  <w:style w:type="character" w:customStyle="1" w:styleId="BodyTextFirstIndentChar">
    <w:name w:val="Body Text First Indent Char"/>
    <w:basedOn w:val="BodyTextChar"/>
    <w:link w:val="BodyTextFirstIndent"/>
    <w:uiPriority w:val="99"/>
    <w:semiHidden/>
    <w:rsid w:val="00CE7F13"/>
    <w:rPr>
      <w:rFonts w:ascii="Times New Roman" w:hAnsi="Times New Roman"/>
      <w:sz w:val="26"/>
    </w:rPr>
  </w:style>
  <w:style w:type="paragraph" w:styleId="BodyTextIndent">
    <w:name w:val="Body Text Indent"/>
    <w:basedOn w:val="Normal"/>
    <w:link w:val="BodyTextIndentChar"/>
    <w:uiPriority w:val="99"/>
    <w:semiHidden/>
    <w:unhideWhenUsed/>
    <w:rsid w:val="00CE7F13"/>
    <w:pPr>
      <w:spacing w:after="120"/>
      <w:ind w:left="360"/>
    </w:pPr>
  </w:style>
  <w:style w:type="character" w:customStyle="1" w:styleId="BodyTextIndentChar">
    <w:name w:val="Body Text Indent Char"/>
    <w:basedOn w:val="DefaultParagraphFont"/>
    <w:link w:val="BodyTextIndent"/>
    <w:uiPriority w:val="99"/>
    <w:semiHidden/>
    <w:rsid w:val="00CE7F13"/>
  </w:style>
  <w:style w:type="paragraph" w:styleId="BodyTextFirstIndent2">
    <w:name w:val="Body Text First Indent 2"/>
    <w:basedOn w:val="BodyTextIndent"/>
    <w:link w:val="BodyTextFirstIndent2Char"/>
    <w:uiPriority w:val="99"/>
    <w:semiHidden/>
    <w:unhideWhenUsed/>
    <w:rsid w:val="00CE7F13"/>
    <w:pPr>
      <w:spacing w:after="160"/>
      <w:ind w:firstLine="360"/>
    </w:pPr>
  </w:style>
  <w:style w:type="character" w:customStyle="1" w:styleId="BodyTextFirstIndent2Char">
    <w:name w:val="Body Text First Indent 2 Char"/>
    <w:basedOn w:val="BodyTextIndentChar"/>
    <w:link w:val="BodyTextFirstIndent2"/>
    <w:uiPriority w:val="99"/>
    <w:semiHidden/>
    <w:rsid w:val="00CE7F13"/>
  </w:style>
  <w:style w:type="paragraph" w:styleId="BodyTextIndent2">
    <w:name w:val="Body Text Indent 2"/>
    <w:basedOn w:val="Normal"/>
    <w:link w:val="BodyTextIndent2Char"/>
    <w:uiPriority w:val="99"/>
    <w:semiHidden/>
    <w:unhideWhenUsed/>
    <w:rsid w:val="00CE7F13"/>
    <w:pPr>
      <w:spacing w:after="120" w:line="480" w:lineRule="auto"/>
      <w:ind w:left="360"/>
    </w:pPr>
  </w:style>
  <w:style w:type="character" w:customStyle="1" w:styleId="BodyTextIndent2Char">
    <w:name w:val="Body Text Indent 2 Char"/>
    <w:basedOn w:val="DefaultParagraphFont"/>
    <w:link w:val="BodyTextIndent2"/>
    <w:uiPriority w:val="99"/>
    <w:semiHidden/>
    <w:rsid w:val="00CE7F13"/>
  </w:style>
  <w:style w:type="paragraph" w:styleId="BodyTextIndent3">
    <w:name w:val="Body Text Indent 3"/>
    <w:basedOn w:val="Normal"/>
    <w:link w:val="BodyTextIndent3Char"/>
    <w:uiPriority w:val="99"/>
    <w:semiHidden/>
    <w:unhideWhenUsed/>
    <w:rsid w:val="00CE7F1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E7F13"/>
    <w:rPr>
      <w:sz w:val="16"/>
      <w:szCs w:val="16"/>
    </w:rPr>
  </w:style>
  <w:style w:type="paragraph" w:styleId="Caption">
    <w:name w:val="caption"/>
    <w:basedOn w:val="Normal"/>
    <w:next w:val="Normal"/>
    <w:uiPriority w:val="35"/>
    <w:semiHidden/>
    <w:unhideWhenUsed/>
    <w:qFormat/>
    <w:rsid w:val="009E0EA2"/>
    <w:pPr>
      <w:spacing w:after="200"/>
    </w:pPr>
    <w:rPr>
      <w:iCs/>
      <w:szCs w:val="18"/>
    </w:rPr>
  </w:style>
  <w:style w:type="paragraph" w:styleId="Closing">
    <w:name w:val="Closing"/>
    <w:basedOn w:val="Normal"/>
    <w:link w:val="ClosingChar"/>
    <w:uiPriority w:val="99"/>
    <w:semiHidden/>
    <w:unhideWhenUsed/>
    <w:rsid w:val="00CE7F13"/>
    <w:pPr>
      <w:ind w:left="4320"/>
    </w:pPr>
  </w:style>
  <w:style w:type="character" w:customStyle="1" w:styleId="ClosingChar">
    <w:name w:val="Closing Char"/>
    <w:basedOn w:val="DefaultParagraphFont"/>
    <w:link w:val="Closing"/>
    <w:uiPriority w:val="99"/>
    <w:semiHidden/>
    <w:rsid w:val="00CE7F13"/>
  </w:style>
  <w:style w:type="paragraph" w:styleId="CommentText">
    <w:name w:val="annotation text"/>
    <w:basedOn w:val="Normal"/>
    <w:link w:val="CommentTextChar"/>
    <w:unhideWhenUsed/>
    <w:rsid w:val="00AF2305"/>
    <w:rPr>
      <w:rFonts w:ascii="Arial" w:hAnsi="Arial" w:cs="Arial"/>
      <w:sz w:val="20"/>
      <w:szCs w:val="20"/>
    </w:rPr>
  </w:style>
  <w:style w:type="character" w:customStyle="1" w:styleId="CommentTextChar">
    <w:name w:val="Comment Text Char"/>
    <w:basedOn w:val="DefaultParagraphFont"/>
    <w:link w:val="CommentText"/>
    <w:rsid w:val="00AF2305"/>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CE7F13"/>
    <w:rPr>
      <w:b/>
      <w:bCs/>
    </w:rPr>
  </w:style>
  <w:style w:type="character" w:customStyle="1" w:styleId="CommentSubjectChar">
    <w:name w:val="Comment Subject Char"/>
    <w:basedOn w:val="CommentTextChar"/>
    <w:link w:val="CommentSubject"/>
    <w:uiPriority w:val="99"/>
    <w:semiHidden/>
    <w:rsid w:val="00CE7F13"/>
    <w:rPr>
      <w:rFonts w:ascii="Times New Roman" w:hAnsi="Times New Roman" w:cs="Arial"/>
      <w:b/>
      <w:bCs/>
      <w:sz w:val="20"/>
      <w:szCs w:val="20"/>
    </w:rPr>
  </w:style>
  <w:style w:type="paragraph" w:styleId="Date">
    <w:name w:val="Date"/>
    <w:basedOn w:val="Normal"/>
    <w:next w:val="Normal"/>
    <w:link w:val="DateChar"/>
    <w:uiPriority w:val="99"/>
    <w:semiHidden/>
    <w:unhideWhenUsed/>
    <w:rsid w:val="00CE7F13"/>
  </w:style>
  <w:style w:type="character" w:customStyle="1" w:styleId="DateChar">
    <w:name w:val="Date Char"/>
    <w:basedOn w:val="DefaultParagraphFont"/>
    <w:link w:val="Date"/>
    <w:uiPriority w:val="99"/>
    <w:semiHidden/>
    <w:rsid w:val="00CE7F13"/>
  </w:style>
  <w:style w:type="paragraph" w:styleId="DocumentMap">
    <w:name w:val="Document Map"/>
    <w:basedOn w:val="Normal"/>
    <w:link w:val="DocumentMapChar"/>
    <w:uiPriority w:val="99"/>
    <w:semiHidden/>
    <w:unhideWhenUsed/>
    <w:rsid w:val="00CE7F13"/>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E7F13"/>
    <w:rPr>
      <w:rFonts w:ascii="Segoe UI" w:hAnsi="Segoe UI" w:cs="Segoe UI"/>
      <w:sz w:val="16"/>
      <w:szCs w:val="16"/>
    </w:rPr>
  </w:style>
  <w:style w:type="paragraph" w:styleId="E-mailSignature">
    <w:name w:val="E-mail Signature"/>
    <w:basedOn w:val="Normal"/>
    <w:link w:val="E-mailSignatureChar"/>
    <w:uiPriority w:val="99"/>
    <w:semiHidden/>
    <w:unhideWhenUsed/>
    <w:rsid w:val="00CE7F13"/>
  </w:style>
  <w:style w:type="character" w:customStyle="1" w:styleId="E-mailSignatureChar">
    <w:name w:val="E-mail Signature Char"/>
    <w:basedOn w:val="DefaultParagraphFont"/>
    <w:link w:val="E-mailSignature"/>
    <w:uiPriority w:val="99"/>
    <w:semiHidden/>
    <w:rsid w:val="00CE7F13"/>
  </w:style>
  <w:style w:type="paragraph" w:styleId="EndnoteText">
    <w:name w:val="endnote text"/>
    <w:basedOn w:val="Normal"/>
    <w:link w:val="EndnoteTextChar"/>
    <w:uiPriority w:val="99"/>
    <w:semiHidden/>
    <w:unhideWhenUsed/>
    <w:rsid w:val="00CE7F13"/>
    <w:rPr>
      <w:sz w:val="20"/>
      <w:szCs w:val="20"/>
    </w:rPr>
  </w:style>
  <w:style w:type="character" w:customStyle="1" w:styleId="EndnoteTextChar">
    <w:name w:val="Endnote Text Char"/>
    <w:basedOn w:val="DefaultParagraphFont"/>
    <w:link w:val="EndnoteText"/>
    <w:uiPriority w:val="99"/>
    <w:semiHidden/>
    <w:rsid w:val="00CE7F13"/>
    <w:rPr>
      <w:sz w:val="20"/>
      <w:szCs w:val="20"/>
    </w:rPr>
  </w:style>
  <w:style w:type="paragraph" w:styleId="EnvelopeAddress">
    <w:name w:val="envelope address"/>
    <w:basedOn w:val="Normal"/>
    <w:uiPriority w:val="99"/>
    <w:semiHidden/>
    <w:unhideWhenUsed/>
    <w:rsid w:val="00CE7F13"/>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CE7F13"/>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CE7F13"/>
    <w:pPr>
      <w:tabs>
        <w:tab w:val="center" w:pos="4680"/>
        <w:tab w:val="right" w:pos="9360"/>
      </w:tabs>
    </w:pPr>
  </w:style>
  <w:style w:type="character" w:customStyle="1" w:styleId="FooterChar">
    <w:name w:val="Footer Char"/>
    <w:basedOn w:val="DefaultParagraphFont"/>
    <w:link w:val="Footer"/>
    <w:uiPriority w:val="99"/>
    <w:rsid w:val="00CE7F13"/>
  </w:style>
  <w:style w:type="paragraph" w:styleId="Header">
    <w:name w:val="header"/>
    <w:basedOn w:val="Normal"/>
    <w:link w:val="HeaderChar"/>
    <w:uiPriority w:val="99"/>
    <w:unhideWhenUsed/>
    <w:rsid w:val="00CE7F13"/>
    <w:pPr>
      <w:tabs>
        <w:tab w:val="center" w:pos="4680"/>
        <w:tab w:val="right" w:pos="9360"/>
      </w:tabs>
    </w:pPr>
  </w:style>
  <w:style w:type="character" w:customStyle="1" w:styleId="HeaderChar">
    <w:name w:val="Header Char"/>
    <w:basedOn w:val="DefaultParagraphFont"/>
    <w:link w:val="Header"/>
    <w:uiPriority w:val="99"/>
    <w:rsid w:val="00CE7F13"/>
  </w:style>
  <w:style w:type="paragraph" w:styleId="HTMLAddress">
    <w:name w:val="HTML Address"/>
    <w:basedOn w:val="Normal"/>
    <w:link w:val="HTMLAddressChar"/>
    <w:uiPriority w:val="99"/>
    <w:semiHidden/>
    <w:unhideWhenUsed/>
    <w:rsid w:val="00CE7F13"/>
    <w:rPr>
      <w:i/>
      <w:iCs/>
    </w:rPr>
  </w:style>
  <w:style w:type="character" w:customStyle="1" w:styleId="HTMLAddressChar">
    <w:name w:val="HTML Address Char"/>
    <w:basedOn w:val="DefaultParagraphFont"/>
    <w:link w:val="HTMLAddress"/>
    <w:uiPriority w:val="99"/>
    <w:semiHidden/>
    <w:rsid w:val="00CE7F13"/>
    <w:rPr>
      <w:i/>
      <w:iCs/>
    </w:rPr>
  </w:style>
  <w:style w:type="paragraph" w:styleId="HTMLPreformatted">
    <w:name w:val="HTML Preformatted"/>
    <w:basedOn w:val="Normal"/>
    <w:link w:val="HTMLPreformattedChar"/>
    <w:uiPriority w:val="99"/>
    <w:semiHidden/>
    <w:unhideWhenUsed/>
    <w:rsid w:val="00CE7F13"/>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CE7F13"/>
    <w:rPr>
      <w:rFonts w:ascii="Consolas" w:hAnsi="Consolas" w:cs="Consolas"/>
      <w:sz w:val="20"/>
      <w:szCs w:val="20"/>
    </w:rPr>
  </w:style>
  <w:style w:type="paragraph" w:styleId="Index1">
    <w:name w:val="index 1"/>
    <w:basedOn w:val="Normal"/>
    <w:next w:val="Normal"/>
    <w:uiPriority w:val="99"/>
    <w:semiHidden/>
    <w:unhideWhenUsed/>
    <w:rsid w:val="00CE7F13"/>
    <w:pPr>
      <w:ind w:left="220" w:hanging="220"/>
    </w:pPr>
  </w:style>
  <w:style w:type="paragraph" w:styleId="Index2">
    <w:name w:val="index 2"/>
    <w:basedOn w:val="Normal"/>
    <w:next w:val="Normal"/>
    <w:uiPriority w:val="99"/>
    <w:semiHidden/>
    <w:unhideWhenUsed/>
    <w:rsid w:val="00CE7F13"/>
    <w:pPr>
      <w:ind w:left="440" w:hanging="220"/>
    </w:pPr>
  </w:style>
  <w:style w:type="paragraph" w:styleId="Index3">
    <w:name w:val="index 3"/>
    <w:basedOn w:val="Normal"/>
    <w:next w:val="Normal"/>
    <w:uiPriority w:val="99"/>
    <w:semiHidden/>
    <w:unhideWhenUsed/>
    <w:rsid w:val="00CE7F13"/>
    <w:pPr>
      <w:ind w:left="660" w:hanging="220"/>
    </w:pPr>
  </w:style>
  <w:style w:type="paragraph" w:styleId="Index4">
    <w:name w:val="index 4"/>
    <w:basedOn w:val="Normal"/>
    <w:next w:val="Normal"/>
    <w:uiPriority w:val="99"/>
    <w:semiHidden/>
    <w:unhideWhenUsed/>
    <w:rsid w:val="00CE7F13"/>
    <w:pPr>
      <w:ind w:left="880" w:hanging="220"/>
    </w:pPr>
  </w:style>
  <w:style w:type="paragraph" w:styleId="Index5">
    <w:name w:val="index 5"/>
    <w:basedOn w:val="Normal"/>
    <w:next w:val="Normal"/>
    <w:uiPriority w:val="99"/>
    <w:semiHidden/>
    <w:unhideWhenUsed/>
    <w:rsid w:val="00CE7F13"/>
    <w:pPr>
      <w:ind w:left="1100" w:hanging="220"/>
    </w:pPr>
  </w:style>
  <w:style w:type="paragraph" w:styleId="Index6">
    <w:name w:val="index 6"/>
    <w:basedOn w:val="Normal"/>
    <w:next w:val="Normal"/>
    <w:uiPriority w:val="99"/>
    <w:semiHidden/>
    <w:unhideWhenUsed/>
    <w:rsid w:val="00CE7F13"/>
    <w:pPr>
      <w:ind w:left="1320" w:hanging="220"/>
    </w:pPr>
  </w:style>
  <w:style w:type="paragraph" w:styleId="Index7">
    <w:name w:val="index 7"/>
    <w:basedOn w:val="Normal"/>
    <w:next w:val="Normal"/>
    <w:uiPriority w:val="99"/>
    <w:semiHidden/>
    <w:unhideWhenUsed/>
    <w:rsid w:val="00CE7F13"/>
    <w:pPr>
      <w:ind w:left="1540" w:hanging="220"/>
    </w:pPr>
  </w:style>
  <w:style w:type="paragraph" w:styleId="Index8">
    <w:name w:val="index 8"/>
    <w:basedOn w:val="Normal"/>
    <w:next w:val="Normal"/>
    <w:uiPriority w:val="99"/>
    <w:semiHidden/>
    <w:unhideWhenUsed/>
    <w:rsid w:val="00CE7F13"/>
    <w:pPr>
      <w:ind w:left="1760" w:hanging="220"/>
    </w:pPr>
  </w:style>
  <w:style w:type="paragraph" w:styleId="Index9">
    <w:name w:val="index 9"/>
    <w:basedOn w:val="Normal"/>
    <w:next w:val="Normal"/>
    <w:uiPriority w:val="99"/>
    <w:semiHidden/>
    <w:unhideWhenUsed/>
    <w:rsid w:val="00CE7F13"/>
    <w:pPr>
      <w:ind w:left="1980" w:hanging="220"/>
    </w:pPr>
  </w:style>
  <w:style w:type="paragraph" w:styleId="IndexHeading">
    <w:name w:val="index heading"/>
    <w:basedOn w:val="Normal"/>
    <w:next w:val="Index1"/>
    <w:uiPriority w:val="99"/>
    <w:semiHidden/>
    <w:unhideWhenUsed/>
    <w:rsid w:val="00CE7F13"/>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E7F1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CE7F13"/>
    <w:rPr>
      <w:i/>
      <w:iCs/>
      <w:color w:val="5B9BD5" w:themeColor="accent1"/>
    </w:rPr>
  </w:style>
  <w:style w:type="paragraph" w:styleId="List">
    <w:name w:val="List"/>
    <w:basedOn w:val="Normal"/>
    <w:uiPriority w:val="99"/>
    <w:semiHidden/>
    <w:unhideWhenUsed/>
    <w:rsid w:val="00CE7F13"/>
    <w:pPr>
      <w:ind w:left="360" w:hanging="360"/>
      <w:contextualSpacing/>
    </w:pPr>
  </w:style>
  <w:style w:type="paragraph" w:styleId="List2">
    <w:name w:val="List 2"/>
    <w:basedOn w:val="Normal"/>
    <w:uiPriority w:val="99"/>
    <w:semiHidden/>
    <w:unhideWhenUsed/>
    <w:rsid w:val="00CE7F13"/>
    <w:pPr>
      <w:ind w:left="720" w:hanging="360"/>
      <w:contextualSpacing/>
    </w:pPr>
  </w:style>
  <w:style w:type="paragraph" w:styleId="List3">
    <w:name w:val="List 3"/>
    <w:basedOn w:val="Normal"/>
    <w:uiPriority w:val="99"/>
    <w:semiHidden/>
    <w:unhideWhenUsed/>
    <w:rsid w:val="00CE7F13"/>
    <w:pPr>
      <w:ind w:left="1080" w:hanging="360"/>
      <w:contextualSpacing/>
    </w:pPr>
  </w:style>
  <w:style w:type="paragraph" w:styleId="List4">
    <w:name w:val="List 4"/>
    <w:basedOn w:val="Normal"/>
    <w:uiPriority w:val="99"/>
    <w:semiHidden/>
    <w:unhideWhenUsed/>
    <w:rsid w:val="00CE7F13"/>
    <w:pPr>
      <w:ind w:left="1440" w:hanging="360"/>
      <w:contextualSpacing/>
    </w:pPr>
  </w:style>
  <w:style w:type="paragraph" w:styleId="List5">
    <w:name w:val="List 5"/>
    <w:basedOn w:val="Normal"/>
    <w:uiPriority w:val="99"/>
    <w:semiHidden/>
    <w:unhideWhenUsed/>
    <w:rsid w:val="00CE7F13"/>
    <w:pPr>
      <w:ind w:left="1800" w:hanging="360"/>
      <w:contextualSpacing/>
    </w:pPr>
  </w:style>
  <w:style w:type="paragraph" w:styleId="ListBullet">
    <w:name w:val="List Bullet"/>
    <w:basedOn w:val="Normal"/>
    <w:uiPriority w:val="99"/>
    <w:semiHidden/>
    <w:unhideWhenUsed/>
    <w:rsid w:val="00CE7F13"/>
    <w:pPr>
      <w:numPr>
        <w:numId w:val="1"/>
      </w:numPr>
      <w:contextualSpacing/>
    </w:pPr>
  </w:style>
  <w:style w:type="paragraph" w:styleId="ListBullet2">
    <w:name w:val="List Bullet 2"/>
    <w:basedOn w:val="Normal"/>
    <w:uiPriority w:val="99"/>
    <w:semiHidden/>
    <w:unhideWhenUsed/>
    <w:rsid w:val="00CE7F13"/>
    <w:pPr>
      <w:numPr>
        <w:numId w:val="2"/>
      </w:numPr>
      <w:contextualSpacing/>
    </w:pPr>
  </w:style>
  <w:style w:type="paragraph" w:styleId="ListBullet3">
    <w:name w:val="List Bullet 3"/>
    <w:basedOn w:val="Normal"/>
    <w:uiPriority w:val="99"/>
    <w:semiHidden/>
    <w:unhideWhenUsed/>
    <w:rsid w:val="00CE7F13"/>
    <w:pPr>
      <w:numPr>
        <w:numId w:val="3"/>
      </w:numPr>
      <w:contextualSpacing/>
    </w:pPr>
  </w:style>
  <w:style w:type="paragraph" w:styleId="ListBullet4">
    <w:name w:val="List Bullet 4"/>
    <w:basedOn w:val="Normal"/>
    <w:uiPriority w:val="99"/>
    <w:semiHidden/>
    <w:unhideWhenUsed/>
    <w:rsid w:val="00CE7F13"/>
    <w:pPr>
      <w:numPr>
        <w:numId w:val="4"/>
      </w:numPr>
      <w:contextualSpacing/>
    </w:pPr>
  </w:style>
  <w:style w:type="paragraph" w:styleId="ListBullet5">
    <w:name w:val="List Bullet 5"/>
    <w:basedOn w:val="Normal"/>
    <w:uiPriority w:val="99"/>
    <w:semiHidden/>
    <w:unhideWhenUsed/>
    <w:rsid w:val="00CE7F13"/>
    <w:pPr>
      <w:numPr>
        <w:numId w:val="5"/>
      </w:numPr>
      <w:contextualSpacing/>
    </w:pPr>
  </w:style>
  <w:style w:type="paragraph" w:styleId="ListContinue">
    <w:name w:val="List Continue"/>
    <w:basedOn w:val="Normal"/>
    <w:uiPriority w:val="99"/>
    <w:semiHidden/>
    <w:unhideWhenUsed/>
    <w:rsid w:val="00CE7F13"/>
    <w:pPr>
      <w:spacing w:after="120"/>
      <w:ind w:left="360"/>
      <w:contextualSpacing/>
    </w:pPr>
  </w:style>
  <w:style w:type="paragraph" w:styleId="ListContinue2">
    <w:name w:val="List Continue 2"/>
    <w:basedOn w:val="Normal"/>
    <w:uiPriority w:val="99"/>
    <w:semiHidden/>
    <w:unhideWhenUsed/>
    <w:rsid w:val="00CE7F13"/>
    <w:pPr>
      <w:spacing w:after="120"/>
      <w:ind w:left="720"/>
      <w:contextualSpacing/>
    </w:pPr>
  </w:style>
  <w:style w:type="paragraph" w:styleId="ListContinue3">
    <w:name w:val="List Continue 3"/>
    <w:basedOn w:val="Normal"/>
    <w:uiPriority w:val="99"/>
    <w:semiHidden/>
    <w:unhideWhenUsed/>
    <w:rsid w:val="00CE7F13"/>
    <w:pPr>
      <w:spacing w:after="120"/>
      <w:ind w:left="1080"/>
      <w:contextualSpacing/>
    </w:pPr>
  </w:style>
  <w:style w:type="paragraph" w:styleId="ListContinue4">
    <w:name w:val="List Continue 4"/>
    <w:basedOn w:val="Normal"/>
    <w:uiPriority w:val="99"/>
    <w:semiHidden/>
    <w:unhideWhenUsed/>
    <w:rsid w:val="00CE7F13"/>
    <w:pPr>
      <w:spacing w:after="120"/>
      <w:ind w:left="1440"/>
      <w:contextualSpacing/>
    </w:pPr>
  </w:style>
  <w:style w:type="paragraph" w:styleId="ListContinue5">
    <w:name w:val="List Continue 5"/>
    <w:basedOn w:val="Normal"/>
    <w:uiPriority w:val="99"/>
    <w:semiHidden/>
    <w:unhideWhenUsed/>
    <w:rsid w:val="00CE7F13"/>
    <w:pPr>
      <w:spacing w:after="120"/>
      <w:ind w:left="1800"/>
      <w:contextualSpacing/>
    </w:pPr>
  </w:style>
  <w:style w:type="paragraph" w:styleId="ListNumber">
    <w:name w:val="List Number"/>
    <w:basedOn w:val="Normal"/>
    <w:uiPriority w:val="99"/>
    <w:semiHidden/>
    <w:unhideWhenUsed/>
    <w:rsid w:val="00CE7F13"/>
    <w:pPr>
      <w:numPr>
        <w:numId w:val="6"/>
      </w:numPr>
      <w:contextualSpacing/>
    </w:pPr>
  </w:style>
  <w:style w:type="paragraph" w:styleId="ListNumber2">
    <w:name w:val="List Number 2"/>
    <w:basedOn w:val="Normal"/>
    <w:uiPriority w:val="99"/>
    <w:unhideWhenUsed/>
    <w:rsid w:val="00CE7F13"/>
    <w:pPr>
      <w:numPr>
        <w:numId w:val="7"/>
      </w:numPr>
      <w:contextualSpacing/>
    </w:pPr>
  </w:style>
  <w:style w:type="paragraph" w:styleId="ListNumber3">
    <w:name w:val="List Number 3"/>
    <w:basedOn w:val="Normal"/>
    <w:uiPriority w:val="99"/>
    <w:semiHidden/>
    <w:unhideWhenUsed/>
    <w:rsid w:val="00CE7F13"/>
    <w:pPr>
      <w:numPr>
        <w:numId w:val="8"/>
      </w:numPr>
      <w:contextualSpacing/>
    </w:pPr>
  </w:style>
  <w:style w:type="paragraph" w:styleId="ListNumber4">
    <w:name w:val="List Number 4"/>
    <w:basedOn w:val="Normal"/>
    <w:uiPriority w:val="99"/>
    <w:semiHidden/>
    <w:unhideWhenUsed/>
    <w:rsid w:val="00CE7F13"/>
    <w:pPr>
      <w:numPr>
        <w:numId w:val="9"/>
      </w:numPr>
      <w:contextualSpacing/>
    </w:pPr>
  </w:style>
  <w:style w:type="paragraph" w:styleId="ListNumber5">
    <w:name w:val="List Number 5"/>
    <w:basedOn w:val="Normal"/>
    <w:uiPriority w:val="99"/>
    <w:semiHidden/>
    <w:unhideWhenUsed/>
    <w:rsid w:val="00CE7F13"/>
    <w:pPr>
      <w:numPr>
        <w:numId w:val="10"/>
      </w:numPr>
      <w:contextualSpacing/>
    </w:pPr>
  </w:style>
  <w:style w:type="paragraph" w:styleId="ListParagraph">
    <w:name w:val="List Paragraph"/>
    <w:aliases w:val="Bullet List with Space,List Paragraph1,BulletList,RecommendationsFERCStaff,Bullet_List,Recommendations 1,TOC Headings"/>
    <w:basedOn w:val="Normal"/>
    <w:uiPriority w:val="34"/>
    <w:qFormat/>
    <w:rsid w:val="00CE7F13"/>
    <w:pPr>
      <w:ind w:left="720"/>
      <w:contextualSpacing/>
    </w:pPr>
  </w:style>
  <w:style w:type="paragraph" w:styleId="MacroText">
    <w:name w:val="macro"/>
    <w:link w:val="MacroTextChar"/>
    <w:uiPriority w:val="99"/>
    <w:semiHidden/>
    <w:unhideWhenUsed/>
    <w:rsid w:val="00CE7F13"/>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sid w:val="00CE7F13"/>
    <w:rPr>
      <w:rFonts w:ascii="Consolas" w:hAnsi="Consolas" w:cs="Consolas"/>
      <w:sz w:val="20"/>
      <w:szCs w:val="20"/>
    </w:rPr>
  </w:style>
  <w:style w:type="paragraph" w:styleId="MessageHeader">
    <w:name w:val="Message Header"/>
    <w:basedOn w:val="Normal"/>
    <w:link w:val="MessageHeaderChar"/>
    <w:uiPriority w:val="99"/>
    <w:semiHidden/>
    <w:unhideWhenUsed/>
    <w:rsid w:val="00CE7F1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CE7F13"/>
    <w:rPr>
      <w:rFonts w:asciiTheme="majorHAnsi" w:eastAsiaTheme="majorEastAsia" w:hAnsiTheme="majorHAnsi" w:cstheme="majorBidi"/>
      <w:sz w:val="24"/>
      <w:szCs w:val="24"/>
      <w:shd w:val="pct20" w:color="auto" w:fill="auto"/>
    </w:rPr>
  </w:style>
  <w:style w:type="paragraph" w:styleId="NoSpacing">
    <w:name w:val="No Spacing"/>
    <w:uiPriority w:val="3"/>
    <w:qFormat/>
    <w:rsid w:val="00CE7F13"/>
    <w:pPr>
      <w:spacing w:after="0" w:line="240" w:lineRule="auto"/>
    </w:pPr>
  </w:style>
  <w:style w:type="paragraph" w:styleId="NormalWeb">
    <w:name w:val="Normal (Web)"/>
    <w:basedOn w:val="Normal"/>
    <w:uiPriority w:val="99"/>
    <w:unhideWhenUsed/>
    <w:rsid w:val="00CE7F13"/>
    <w:rPr>
      <w:sz w:val="24"/>
      <w:szCs w:val="24"/>
    </w:rPr>
  </w:style>
  <w:style w:type="paragraph" w:styleId="NormalIndent">
    <w:name w:val="Normal Indent"/>
    <w:basedOn w:val="Normal"/>
    <w:uiPriority w:val="99"/>
    <w:semiHidden/>
    <w:unhideWhenUsed/>
    <w:rsid w:val="00CE7F13"/>
    <w:pPr>
      <w:ind w:left="720"/>
    </w:pPr>
  </w:style>
  <w:style w:type="paragraph" w:styleId="NoteHeading">
    <w:name w:val="Note Heading"/>
    <w:basedOn w:val="Normal"/>
    <w:next w:val="Normal"/>
    <w:link w:val="NoteHeadingChar"/>
    <w:uiPriority w:val="99"/>
    <w:semiHidden/>
    <w:unhideWhenUsed/>
    <w:rsid w:val="00CE7F13"/>
  </w:style>
  <w:style w:type="character" w:customStyle="1" w:styleId="NoteHeadingChar">
    <w:name w:val="Note Heading Char"/>
    <w:basedOn w:val="DefaultParagraphFont"/>
    <w:link w:val="NoteHeading"/>
    <w:uiPriority w:val="99"/>
    <w:semiHidden/>
    <w:rsid w:val="00CE7F13"/>
  </w:style>
  <w:style w:type="paragraph" w:styleId="PlainText">
    <w:name w:val="Plain Text"/>
    <w:basedOn w:val="Normal"/>
    <w:link w:val="PlainTextChar"/>
    <w:uiPriority w:val="99"/>
    <w:semiHidden/>
    <w:unhideWhenUsed/>
    <w:rsid w:val="00CE7F13"/>
    <w:rPr>
      <w:rFonts w:ascii="Consolas" w:hAnsi="Consolas" w:cs="Consolas"/>
      <w:sz w:val="21"/>
      <w:szCs w:val="21"/>
    </w:rPr>
  </w:style>
  <w:style w:type="character" w:customStyle="1" w:styleId="PlainTextChar">
    <w:name w:val="Plain Text Char"/>
    <w:basedOn w:val="DefaultParagraphFont"/>
    <w:link w:val="PlainText"/>
    <w:uiPriority w:val="99"/>
    <w:semiHidden/>
    <w:rsid w:val="00CE7F13"/>
    <w:rPr>
      <w:rFonts w:ascii="Consolas" w:hAnsi="Consolas" w:cs="Consolas"/>
      <w:sz w:val="21"/>
      <w:szCs w:val="21"/>
    </w:rPr>
  </w:style>
  <w:style w:type="paragraph" w:styleId="Quote">
    <w:name w:val="Quote"/>
    <w:basedOn w:val="Normal"/>
    <w:next w:val="Normal"/>
    <w:link w:val="QuoteChar"/>
    <w:uiPriority w:val="29"/>
    <w:qFormat/>
    <w:rsid w:val="00CE7F13"/>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CE7F13"/>
    <w:rPr>
      <w:i/>
      <w:iCs/>
      <w:color w:val="404040" w:themeColor="text1" w:themeTint="BF"/>
    </w:rPr>
  </w:style>
  <w:style w:type="paragraph" w:styleId="Salutation">
    <w:name w:val="Salutation"/>
    <w:basedOn w:val="Normal"/>
    <w:next w:val="Normal"/>
    <w:link w:val="SalutationChar"/>
    <w:uiPriority w:val="99"/>
    <w:semiHidden/>
    <w:unhideWhenUsed/>
    <w:rsid w:val="00CE7F13"/>
  </w:style>
  <w:style w:type="character" w:customStyle="1" w:styleId="SalutationChar">
    <w:name w:val="Salutation Char"/>
    <w:basedOn w:val="DefaultParagraphFont"/>
    <w:link w:val="Salutation"/>
    <w:uiPriority w:val="99"/>
    <w:semiHidden/>
    <w:rsid w:val="00CE7F13"/>
  </w:style>
  <w:style w:type="paragraph" w:styleId="Signature">
    <w:name w:val="Signature"/>
    <w:basedOn w:val="Normal"/>
    <w:link w:val="SignatureChar"/>
    <w:uiPriority w:val="99"/>
    <w:semiHidden/>
    <w:unhideWhenUsed/>
    <w:rsid w:val="00CE7F13"/>
    <w:pPr>
      <w:ind w:left="4320"/>
    </w:pPr>
  </w:style>
  <w:style w:type="character" w:customStyle="1" w:styleId="SignatureChar">
    <w:name w:val="Signature Char"/>
    <w:basedOn w:val="DefaultParagraphFont"/>
    <w:link w:val="Signature"/>
    <w:uiPriority w:val="99"/>
    <w:semiHidden/>
    <w:rsid w:val="00CE7F13"/>
  </w:style>
  <w:style w:type="paragraph" w:styleId="Subtitle">
    <w:name w:val="Subtitle"/>
    <w:basedOn w:val="Normal"/>
    <w:next w:val="Normal"/>
    <w:link w:val="SubtitleChar"/>
    <w:uiPriority w:val="11"/>
    <w:qFormat/>
    <w:rsid w:val="00CE7F1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E7F13"/>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CE7F13"/>
    <w:pPr>
      <w:ind w:left="220" w:hanging="220"/>
    </w:pPr>
  </w:style>
  <w:style w:type="paragraph" w:styleId="TableofFigures">
    <w:name w:val="table of figures"/>
    <w:basedOn w:val="Normal"/>
    <w:next w:val="Normal"/>
    <w:uiPriority w:val="99"/>
    <w:semiHidden/>
    <w:unhideWhenUsed/>
    <w:rsid w:val="00CE7F13"/>
  </w:style>
  <w:style w:type="paragraph" w:styleId="Title">
    <w:name w:val="Title"/>
    <w:basedOn w:val="Normal"/>
    <w:next w:val="Normal"/>
    <w:link w:val="TitleChar"/>
    <w:uiPriority w:val="10"/>
    <w:qFormat/>
    <w:rsid w:val="00CE7F1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7F13"/>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CE7F13"/>
    <w:pPr>
      <w:spacing w:before="120"/>
    </w:pPr>
    <w:rPr>
      <w:rFonts w:asciiTheme="majorHAnsi" w:eastAsiaTheme="majorEastAsia" w:hAnsiTheme="majorHAnsi" w:cstheme="majorBidi"/>
      <w:b/>
      <w:bCs/>
      <w:sz w:val="24"/>
      <w:szCs w:val="24"/>
    </w:rPr>
  </w:style>
  <w:style w:type="paragraph" w:styleId="TOC1">
    <w:name w:val="toc 1"/>
    <w:basedOn w:val="Normal"/>
    <w:next w:val="Normal"/>
    <w:uiPriority w:val="39"/>
    <w:semiHidden/>
    <w:unhideWhenUsed/>
    <w:rsid w:val="00CE7F13"/>
    <w:pPr>
      <w:spacing w:after="100"/>
    </w:pPr>
  </w:style>
  <w:style w:type="paragraph" w:styleId="TOC2">
    <w:name w:val="toc 2"/>
    <w:basedOn w:val="Normal"/>
    <w:next w:val="Normal"/>
    <w:uiPriority w:val="39"/>
    <w:semiHidden/>
    <w:unhideWhenUsed/>
    <w:rsid w:val="00CE7F13"/>
    <w:pPr>
      <w:spacing w:after="100"/>
      <w:ind w:left="220"/>
    </w:pPr>
  </w:style>
  <w:style w:type="paragraph" w:styleId="TOC3">
    <w:name w:val="toc 3"/>
    <w:basedOn w:val="Normal"/>
    <w:next w:val="Normal"/>
    <w:uiPriority w:val="39"/>
    <w:semiHidden/>
    <w:unhideWhenUsed/>
    <w:rsid w:val="00CE7F13"/>
    <w:pPr>
      <w:spacing w:after="100"/>
      <w:ind w:left="440"/>
    </w:pPr>
  </w:style>
  <w:style w:type="paragraph" w:styleId="TOC4">
    <w:name w:val="toc 4"/>
    <w:basedOn w:val="Normal"/>
    <w:next w:val="Normal"/>
    <w:uiPriority w:val="39"/>
    <w:semiHidden/>
    <w:unhideWhenUsed/>
    <w:rsid w:val="00CE7F13"/>
    <w:pPr>
      <w:spacing w:after="100"/>
      <w:ind w:left="660"/>
    </w:pPr>
  </w:style>
  <w:style w:type="paragraph" w:styleId="TOC5">
    <w:name w:val="toc 5"/>
    <w:basedOn w:val="Normal"/>
    <w:next w:val="Normal"/>
    <w:uiPriority w:val="39"/>
    <w:semiHidden/>
    <w:unhideWhenUsed/>
    <w:rsid w:val="00CE7F13"/>
    <w:pPr>
      <w:spacing w:after="100"/>
      <w:ind w:left="880"/>
    </w:pPr>
  </w:style>
  <w:style w:type="paragraph" w:styleId="TOC6">
    <w:name w:val="toc 6"/>
    <w:basedOn w:val="Normal"/>
    <w:next w:val="Normal"/>
    <w:uiPriority w:val="39"/>
    <w:semiHidden/>
    <w:unhideWhenUsed/>
    <w:rsid w:val="00CE7F13"/>
    <w:pPr>
      <w:spacing w:after="100"/>
      <w:ind w:left="1100"/>
    </w:pPr>
  </w:style>
  <w:style w:type="paragraph" w:styleId="TOC7">
    <w:name w:val="toc 7"/>
    <w:basedOn w:val="Normal"/>
    <w:next w:val="Normal"/>
    <w:uiPriority w:val="39"/>
    <w:semiHidden/>
    <w:unhideWhenUsed/>
    <w:rsid w:val="00CE7F13"/>
    <w:pPr>
      <w:spacing w:after="100"/>
      <w:ind w:left="1320"/>
    </w:pPr>
  </w:style>
  <w:style w:type="paragraph" w:styleId="TOC8">
    <w:name w:val="toc 8"/>
    <w:basedOn w:val="Normal"/>
    <w:next w:val="Normal"/>
    <w:uiPriority w:val="39"/>
    <w:semiHidden/>
    <w:unhideWhenUsed/>
    <w:rsid w:val="00CE7F13"/>
    <w:pPr>
      <w:spacing w:after="100"/>
      <w:ind w:left="1540"/>
    </w:pPr>
  </w:style>
  <w:style w:type="paragraph" w:styleId="TOC9">
    <w:name w:val="toc 9"/>
    <w:basedOn w:val="Normal"/>
    <w:next w:val="Normal"/>
    <w:uiPriority w:val="39"/>
    <w:semiHidden/>
    <w:unhideWhenUsed/>
    <w:rsid w:val="00CE7F13"/>
    <w:pPr>
      <w:spacing w:after="100"/>
      <w:ind w:left="1760"/>
    </w:pPr>
  </w:style>
  <w:style w:type="paragraph" w:styleId="TOCHeading">
    <w:name w:val="TOC Heading"/>
    <w:basedOn w:val="Heading1"/>
    <w:next w:val="Normal"/>
    <w:uiPriority w:val="39"/>
    <w:semiHidden/>
    <w:unhideWhenUsed/>
    <w:qFormat/>
    <w:rsid w:val="00CE7F13"/>
    <w:pPr>
      <w:numPr>
        <w:numId w:val="0"/>
      </w:numPr>
      <w:outlineLvl w:val="9"/>
    </w:pPr>
  </w:style>
  <w:style w:type="paragraph" w:customStyle="1" w:styleId="FERCparanumber">
    <w:name w:val="FERC paranumber"/>
    <w:basedOn w:val="Normal"/>
    <w:link w:val="FERCparanumberChar"/>
    <w:qFormat/>
    <w:rsid w:val="00C274AA"/>
    <w:pPr>
      <w:widowControl/>
      <w:numPr>
        <w:numId w:val="11"/>
      </w:numPr>
      <w:spacing w:after="260"/>
    </w:pPr>
  </w:style>
  <w:style w:type="character" w:customStyle="1" w:styleId="FERCparanumberChar">
    <w:name w:val="FERC paranumber Char"/>
    <w:basedOn w:val="DefaultParagraphFont"/>
    <w:link w:val="FERCparanumber"/>
    <w:rsid w:val="00C274AA"/>
    <w:rPr>
      <w:rFonts w:ascii="Times New Roman" w:hAnsi="Times New Roman" w:cs="Times New Roman"/>
      <w:sz w:val="26"/>
    </w:rPr>
  </w:style>
  <w:style w:type="character" w:styleId="PageNumber">
    <w:name w:val="page number"/>
    <w:basedOn w:val="DefaultParagraphFont"/>
    <w:rsid w:val="0048020B"/>
  </w:style>
  <w:style w:type="table" w:styleId="TableGrid">
    <w:name w:val="Table Grid"/>
    <w:basedOn w:val="TableNormal"/>
    <w:rsid w:val="0048020B"/>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qFormat/>
    <w:rsid w:val="0048020B"/>
    <w:rPr>
      <w:color w:val="0563C1" w:themeColor="hyperlink"/>
      <w:u w:val="single"/>
    </w:rPr>
  </w:style>
  <w:style w:type="character" w:customStyle="1" w:styleId="Heading1Char">
    <w:name w:val="Heading 1 Char"/>
    <w:basedOn w:val="DefaultParagraphFont"/>
    <w:link w:val="Heading1"/>
    <w:uiPriority w:val="9"/>
    <w:rsid w:val="00EB5D6A"/>
    <w:rPr>
      <w:rFonts w:ascii="Times New Roman" w:eastAsiaTheme="majorEastAsia" w:hAnsi="Times New Roman" w:cs="Times New Roman"/>
      <w:b/>
      <w:kern w:val="32"/>
      <w:sz w:val="26"/>
      <w:szCs w:val="32"/>
      <w:u w:val="single"/>
    </w:rPr>
  </w:style>
  <w:style w:type="character" w:customStyle="1" w:styleId="Heading2Char">
    <w:name w:val="Heading 2 Char"/>
    <w:basedOn w:val="DefaultParagraphFont"/>
    <w:link w:val="Heading2"/>
    <w:uiPriority w:val="9"/>
    <w:rsid w:val="00EB5D6A"/>
    <w:rPr>
      <w:rFonts w:ascii="Times New Roman" w:eastAsiaTheme="majorEastAsia" w:hAnsi="Times New Roman" w:cs="Times New Roman"/>
      <w:b/>
      <w:kern w:val="32"/>
      <w:sz w:val="26"/>
      <w:szCs w:val="26"/>
      <w:u w:val="single"/>
    </w:rPr>
  </w:style>
  <w:style w:type="paragraph" w:styleId="FootnoteText">
    <w:name w:val="footnote text"/>
    <w:aliases w:val="Footnote Text Char1,Footnote Text Char Char,Footnote Text Char Char1,fn,ft Char,Footnote Text Char2 Char,Footnote Text Char1 Char Char Char,ft Char Char Char Char,ft,Footnote Text Char1 Char Char,Footnote Text Char2,f,C,fn Char Char, Char"/>
    <w:basedOn w:val="Normal"/>
    <w:link w:val="FootnoteTextChar"/>
    <w:unhideWhenUsed/>
    <w:qFormat/>
    <w:rsid w:val="00DD46EB"/>
    <w:pPr>
      <w:spacing w:after="260"/>
      <w:ind w:firstLine="720"/>
    </w:pPr>
    <w:rPr>
      <w:szCs w:val="20"/>
    </w:rPr>
  </w:style>
  <w:style w:type="character" w:styleId="FootnoteReference">
    <w:name w:val="footnote reference"/>
    <w:aliases w:val="o,fr,Style 13,Style 12,Style 15,Style 17,Style 9,o1,fr1,o2,fr2,o3,fr3,Style 18,(NECG) Footnote Reference,Style 20,Style 7,Style 8,Style 19,Style 28,Styl,Style 11,Style 16,Footnote Reference (EIS),fnr,Footnote reference (EA),Style 30,."/>
    <w:basedOn w:val="DefaultParagraphFont"/>
    <w:unhideWhenUsed/>
    <w:qFormat/>
    <w:rsid w:val="00DD46EB"/>
    <w:rPr>
      <w:rFonts w:ascii="Times New Roman" w:hAnsi="Times New Roman" w:cs="Times New Roman"/>
      <w:b/>
      <w:sz w:val="26"/>
      <w:vertAlign w:val="superscript"/>
    </w:rPr>
  </w:style>
  <w:style w:type="paragraph" w:customStyle="1" w:styleId="FERCNopara">
    <w:name w:val="FERC Nopara"/>
    <w:basedOn w:val="Normal"/>
    <w:uiPriority w:val="1"/>
    <w:qFormat/>
    <w:rsid w:val="00FE519C"/>
    <w:pPr>
      <w:spacing w:after="260"/>
      <w:ind w:firstLine="720"/>
    </w:pPr>
  </w:style>
  <w:style w:type="character" w:styleId="CommentReference">
    <w:name w:val="annotation reference"/>
    <w:basedOn w:val="DefaultParagraphFont"/>
    <w:unhideWhenUsed/>
    <w:rsid w:val="00407EE0"/>
    <w:rPr>
      <w:sz w:val="16"/>
      <w:szCs w:val="16"/>
    </w:rPr>
  </w:style>
  <w:style w:type="character" w:styleId="UnresolvedMention">
    <w:name w:val="Unresolved Mention"/>
    <w:basedOn w:val="DefaultParagraphFont"/>
    <w:uiPriority w:val="99"/>
    <w:semiHidden/>
    <w:unhideWhenUsed/>
    <w:rsid w:val="00C32965"/>
    <w:rPr>
      <w:color w:val="605E5C"/>
      <w:shd w:val="clear" w:color="auto" w:fill="E1DFDD"/>
    </w:rPr>
  </w:style>
  <w:style w:type="character" w:customStyle="1" w:styleId="FootnoteTextChar">
    <w:name w:val="Footnote Text Char"/>
    <w:aliases w:val="Footnote Text Char1 Char,Footnote Text Char Char Char,Footnote Text Char Char1 Char,fn Char,ft Char Char,Footnote Text Char2 Char Char,Footnote Text Char1 Char Char Char Char,ft Char Char Char Char Char,ft Char1,f Char,C Char"/>
    <w:basedOn w:val="DefaultParagraphFont"/>
    <w:link w:val="FootnoteText"/>
    <w:rsid w:val="00557A7B"/>
    <w:rPr>
      <w:rFonts w:ascii="Times New Roman" w:hAnsi="Times New Roman" w:cs="Times New Roman"/>
      <w:sz w:val="26"/>
      <w:szCs w:val="20"/>
    </w:rPr>
  </w:style>
  <w:style w:type="character" w:styleId="Mention">
    <w:name w:val="Mention"/>
    <w:basedOn w:val="DefaultParagraphFont"/>
    <w:uiPriority w:val="99"/>
    <w:unhideWhenUsed/>
    <w:rsid w:val="006375DF"/>
    <w:rPr>
      <w:color w:val="2B579A"/>
      <w:shd w:val="clear" w:color="auto" w:fill="E1DFDD"/>
    </w:rPr>
  </w:style>
  <w:style w:type="paragraph" w:styleId="Revision">
    <w:name w:val="Revision"/>
    <w:hidden/>
    <w:uiPriority w:val="99"/>
    <w:semiHidden/>
    <w:rsid w:val="003B423B"/>
    <w:pPr>
      <w:spacing w:after="0" w:line="240" w:lineRule="auto"/>
    </w:pPr>
    <w:rPr>
      <w:rFonts w:ascii="Times New Roman" w:hAnsi="Times New Roman" w:cs="Times New Roman"/>
      <w:sz w:val="26"/>
    </w:rPr>
  </w:style>
  <w:style w:type="character" w:customStyle="1" w:styleId="Heading4Char">
    <w:name w:val="Heading 4 Char"/>
    <w:basedOn w:val="DefaultParagraphFont"/>
    <w:link w:val="Heading4"/>
    <w:uiPriority w:val="9"/>
    <w:rsid w:val="00293E5B"/>
    <w:rPr>
      <w:rFonts w:ascii="Times New Roman" w:eastAsiaTheme="majorEastAsia" w:hAnsi="Times New Roman" w:cs="Times New Roman"/>
      <w:b/>
      <w:iCs/>
      <w:kern w:val="32"/>
      <w:sz w:val="26"/>
      <w:u w:val="single"/>
    </w:rPr>
  </w:style>
  <w:style w:type="character" w:customStyle="1" w:styleId="Heading3Char">
    <w:name w:val="Heading 3 Char"/>
    <w:basedOn w:val="DefaultParagraphFont"/>
    <w:link w:val="Heading3"/>
    <w:uiPriority w:val="9"/>
    <w:rsid w:val="00003A7E"/>
    <w:rPr>
      <w:rFonts w:ascii="Times New Roman" w:eastAsiaTheme="majorEastAsia" w:hAnsi="Times New Roman" w:cs="Times New Roman"/>
      <w:b/>
      <w:kern w:val="32"/>
      <w:sz w:val="26"/>
      <w:szCs w:val="24"/>
      <w:u w:val="single"/>
    </w:rPr>
  </w:style>
  <w:style w:type="character" w:styleId="EndnoteReference">
    <w:name w:val="endnote reference"/>
    <w:basedOn w:val="DefaultParagraphFont"/>
    <w:uiPriority w:val="99"/>
    <w:semiHidden/>
    <w:unhideWhenUsed/>
    <w:rsid w:val="00AF2C2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97074">
      <w:bodyDiv w:val="1"/>
      <w:marLeft w:val="0"/>
      <w:marRight w:val="0"/>
      <w:marTop w:val="0"/>
      <w:marBottom w:val="0"/>
      <w:divBdr>
        <w:top w:val="none" w:sz="0" w:space="0" w:color="auto"/>
        <w:left w:val="none" w:sz="0" w:space="0" w:color="auto"/>
        <w:bottom w:val="none" w:sz="0" w:space="0" w:color="auto"/>
        <w:right w:val="none" w:sz="0" w:space="0" w:color="auto"/>
      </w:divBdr>
      <w:divsChild>
        <w:div w:id="187452642">
          <w:marLeft w:val="0"/>
          <w:marRight w:val="0"/>
          <w:marTop w:val="0"/>
          <w:marBottom w:val="0"/>
          <w:divBdr>
            <w:top w:val="none" w:sz="0" w:space="0" w:color="3D3D3D"/>
            <w:left w:val="none" w:sz="0" w:space="0" w:color="3D3D3D"/>
            <w:bottom w:val="none" w:sz="0" w:space="0" w:color="3D3D3D"/>
            <w:right w:val="none" w:sz="0" w:space="0" w:color="3D3D3D"/>
          </w:divBdr>
          <w:divsChild>
            <w:div w:id="41841246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409622197">
      <w:bodyDiv w:val="1"/>
      <w:marLeft w:val="0"/>
      <w:marRight w:val="0"/>
      <w:marTop w:val="0"/>
      <w:marBottom w:val="0"/>
      <w:divBdr>
        <w:top w:val="none" w:sz="0" w:space="0" w:color="auto"/>
        <w:left w:val="none" w:sz="0" w:space="0" w:color="auto"/>
        <w:bottom w:val="none" w:sz="0" w:space="0" w:color="auto"/>
        <w:right w:val="none" w:sz="0" w:space="0" w:color="auto"/>
      </w:divBdr>
      <w:divsChild>
        <w:div w:id="1446733051">
          <w:marLeft w:val="0"/>
          <w:marRight w:val="0"/>
          <w:marTop w:val="0"/>
          <w:marBottom w:val="0"/>
          <w:divBdr>
            <w:top w:val="none" w:sz="0" w:space="0" w:color="auto"/>
            <w:left w:val="none" w:sz="0" w:space="0" w:color="auto"/>
            <w:bottom w:val="none" w:sz="0" w:space="0" w:color="auto"/>
            <w:right w:val="none" w:sz="0" w:space="0" w:color="auto"/>
          </w:divBdr>
          <w:divsChild>
            <w:div w:id="631903459">
              <w:marLeft w:val="0"/>
              <w:marRight w:val="0"/>
              <w:marTop w:val="0"/>
              <w:marBottom w:val="0"/>
              <w:divBdr>
                <w:top w:val="none" w:sz="0" w:space="0" w:color="auto"/>
                <w:left w:val="none" w:sz="0" w:space="0" w:color="auto"/>
                <w:bottom w:val="none" w:sz="0" w:space="0" w:color="auto"/>
                <w:right w:val="none" w:sz="0" w:space="0" w:color="auto"/>
              </w:divBdr>
              <w:divsChild>
                <w:div w:id="1366102775">
                  <w:marLeft w:val="0"/>
                  <w:marRight w:val="0"/>
                  <w:marTop w:val="0"/>
                  <w:marBottom w:val="0"/>
                  <w:divBdr>
                    <w:top w:val="none" w:sz="0" w:space="0" w:color="auto"/>
                    <w:left w:val="none" w:sz="0" w:space="0" w:color="auto"/>
                    <w:bottom w:val="none" w:sz="0" w:space="0" w:color="auto"/>
                    <w:right w:val="none" w:sz="0" w:space="0" w:color="auto"/>
                  </w:divBdr>
                  <w:divsChild>
                    <w:div w:id="21242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1517014">
      <w:bodyDiv w:val="1"/>
      <w:marLeft w:val="0"/>
      <w:marRight w:val="0"/>
      <w:marTop w:val="0"/>
      <w:marBottom w:val="0"/>
      <w:divBdr>
        <w:top w:val="none" w:sz="0" w:space="0" w:color="auto"/>
        <w:left w:val="none" w:sz="0" w:space="0" w:color="auto"/>
        <w:bottom w:val="none" w:sz="0" w:space="0" w:color="auto"/>
        <w:right w:val="none" w:sz="0" w:space="0" w:color="auto"/>
      </w:divBdr>
      <w:divsChild>
        <w:div w:id="828326931">
          <w:marLeft w:val="0"/>
          <w:marRight w:val="0"/>
          <w:marTop w:val="0"/>
          <w:marBottom w:val="0"/>
          <w:divBdr>
            <w:top w:val="none" w:sz="0" w:space="0" w:color="auto"/>
            <w:left w:val="none" w:sz="0" w:space="0" w:color="auto"/>
            <w:bottom w:val="none" w:sz="0" w:space="0" w:color="auto"/>
            <w:right w:val="none" w:sz="0" w:space="0" w:color="auto"/>
          </w:divBdr>
          <w:divsChild>
            <w:div w:id="1087965653">
              <w:marLeft w:val="0"/>
              <w:marRight w:val="0"/>
              <w:marTop w:val="0"/>
              <w:marBottom w:val="0"/>
              <w:divBdr>
                <w:top w:val="none" w:sz="0" w:space="0" w:color="auto"/>
                <w:left w:val="none" w:sz="0" w:space="0" w:color="auto"/>
                <w:bottom w:val="none" w:sz="0" w:space="0" w:color="auto"/>
                <w:right w:val="none" w:sz="0" w:space="0" w:color="auto"/>
              </w:divBdr>
              <w:divsChild>
                <w:div w:id="1652060229">
                  <w:marLeft w:val="0"/>
                  <w:marRight w:val="0"/>
                  <w:marTop w:val="0"/>
                  <w:marBottom w:val="0"/>
                  <w:divBdr>
                    <w:top w:val="none" w:sz="0" w:space="0" w:color="auto"/>
                    <w:left w:val="none" w:sz="0" w:space="0" w:color="auto"/>
                    <w:bottom w:val="none" w:sz="0" w:space="0" w:color="auto"/>
                    <w:right w:val="none" w:sz="0" w:space="0" w:color="auto"/>
                  </w:divBdr>
                  <w:divsChild>
                    <w:div w:id="530194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6372760">
      <w:bodyDiv w:val="1"/>
      <w:marLeft w:val="0"/>
      <w:marRight w:val="0"/>
      <w:marTop w:val="0"/>
      <w:marBottom w:val="0"/>
      <w:divBdr>
        <w:top w:val="none" w:sz="0" w:space="0" w:color="auto"/>
        <w:left w:val="none" w:sz="0" w:space="0" w:color="auto"/>
        <w:bottom w:val="none" w:sz="0" w:space="0" w:color="auto"/>
        <w:right w:val="none" w:sz="0" w:space="0" w:color="auto"/>
      </w:divBdr>
      <w:divsChild>
        <w:div w:id="561647022">
          <w:marLeft w:val="0"/>
          <w:marRight w:val="0"/>
          <w:marTop w:val="0"/>
          <w:marBottom w:val="0"/>
          <w:divBdr>
            <w:top w:val="none" w:sz="0" w:space="0" w:color="3D3D3D"/>
            <w:left w:val="none" w:sz="0" w:space="0" w:color="3D3D3D"/>
            <w:bottom w:val="none" w:sz="0" w:space="0" w:color="3D3D3D"/>
            <w:right w:val="none" w:sz="0" w:space="0" w:color="3D3D3D"/>
          </w:divBdr>
          <w:divsChild>
            <w:div w:id="152255177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373455352">
      <w:bodyDiv w:val="1"/>
      <w:marLeft w:val="0"/>
      <w:marRight w:val="0"/>
      <w:marTop w:val="0"/>
      <w:marBottom w:val="0"/>
      <w:divBdr>
        <w:top w:val="none" w:sz="0" w:space="0" w:color="auto"/>
        <w:left w:val="none" w:sz="0" w:space="0" w:color="auto"/>
        <w:bottom w:val="none" w:sz="0" w:space="0" w:color="auto"/>
        <w:right w:val="none" w:sz="0" w:space="0" w:color="auto"/>
      </w:divBdr>
    </w:div>
    <w:div w:id="1474518376">
      <w:bodyDiv w:val="1"/>
      <w:marLeft w:val="0"/>
      <w:marRight w:val="0"/>
      <w:marTop w:val="0"/>
      <w:marBottom w:val="0"/>
      <w:divBdr>
        <w:top w:val="none" w:sz="0" w:space="0" w:color="auto"/>
        <w:left w:val="none" w:sz="0" w:space="0" w:color="auto"/>
        <w:bottom w:val="none" w:sz="0" w:space="0" w:color="auto"/>
        <w:right w:val="none" w:sz="0" w:space="0" w:color="auto"/>
      </w:divBdr>
    </w:div>
    <w:div w:id="1662544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www.ferc.gov/media/staff-guidance-manual-implementation-national-environmental-policy-act-june-20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74a4cd09-5f17-433b-814a-38e7e9115d16" ContentTypeId="0x0101" PreviousValue="fals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E6D3A9-131E-4DE9-B5F4-987052E07D10}">
  <ds:schemaRefs>
    <ds:schemaRef ds:uri="Microsoft.SharePoint.Taxonomy.ContentTypeSync"/>
  </ds:schemaRefs>
</ds:datastoreItem>
</file>

<file path=customXml/itemProps2.xml><?xml version="1.0" encoding="utf-8"?>
<ds:datastoreItem xmlns:ds="http://schemas.openxmlformats.org/officeDocument/2006/customXml" ds:itemID="{A8252782-9482-4D4A-8051-ECF9722F0D3E}">
  <ds:schemaRefs>
    <ds:schemaRef ds:uri="http://schemas.openxmlformats.org/officeDocument/2006/bibliography"/>
  </ds:schemaRefs>
</ds:datastoreItem>
</file>

<file path=customXml/itemProps3.xml><?xml version="1.0" encoding="utf-8"?>
<ds:datastoreItem xmlns:ds="http://schemas.openxmlformats.org/officeDocument/2006/customXml" ds:itemID="{1EF8503E-78FF-4A18-B00A-40D7A95053A1}">
  <ds:schemaRefs>
    <ds:schemaRef ds:uri="http://schemas.microsoft.com/office/2006/documentManagement/types"/>
    <ds:schemaRef ds:uri="http://schemas.microsoft.com/office/infopath/2007/PartnerControls"/>
    <ds:schemaRef ds:uri="5e8733a2-e908-454b-85cf-c9d17e1d0943"/>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A1D32762-6570-484D-8986-00686C4D7161}">
  <ds:schemaRefs>
    <ds:schemaRef ds:uri="http://schemas.microsoft.com/sharepoint/v3/contenttype/forms"/>
  </ds:schemaRefs>
</ds:datastoreItem>
</file>

<file path=customXml/itemProps5.xml><?xml version="1.0" encoding="utf-8"?>
<ds:datastoreItem xmlns:ds="http://schemas.openxmlformats.org/officeDocument/2006/customXml" ds:itemID="{D714571B-C4B0-41AC-AC70-9246FDDF8A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vt="http://schemas.openxmlformats.org/officeDocument/2006/docPropsVTypes" xmlns:ap="http://schemas.openxmlformats.org/officeDocument/2006/extended-properties">
  <ap:TotalTime>26</ap:TotalTime>
  <ap:Pages>44</ap:Pages>
  <ap:Words>10759</ap:Words>
  <ap:Characters>62408</ap:Characters>
  <ap:Application>Microsoft Office Word</ap:Application>
  <ap:DocSecurity>0</ap:DocSecurity>
  <ap:Lines>990</ap:Lines>
  <ap:Paragraphs>221</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72946</ap:CharactersWithSpaces>
  <ap:SharedDoc>false</ap:SharedDoc>
  <ap:HLinks>
    <vt:vector baseType="variant" size="6">
      <vt:variant>
        <vt:i4>3473530</vt:i4>
      </vt:variant>
      <vt:variant>
        <vt:i4>0</vt:i4>
      </vt:variant>
      <vt:variant>
        <vt:i4>0</vt:i4>
      </vt:variant>
      <vt:variant>
        <vt:i4>5</vt:i4>
      </vt:variant>
      <vt:variant>
        <vt:lpwstr>https://www.ferc.gov/media/staff-guidance-manual-implementation-national-environmental-policy-act-june-2025</vt:lpwstr>
      </vt:variant>
      <vt:variant>
        <vt:lpwstr/>
      </vt:variant>
    </vt:vector>
  </ap:HLinks>
  <ap:HyperlinksChanged>false</ap:HyperlinksChanged>
  <ap:AppVersion>16.0000</ap:AppVersion>
  <ap:Manager/>
  <ap:Company/>
  <ap:HyperlinkBase/>
  <ap:Templ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
  <lastModifiedBy/>
  <revision/>
  <dcterms:created xsi:type="dcterms:W3CDTF">2025-12-18T00:32:00.0000000Z</dcterms:created>
  <dcterms:modified xsi:type="dcterms:W3CDTF">2025-12-18T14:28:00.0000000Z</dcterms:modified>
  <category/>
  <contentStatus/>
  <dc:identifier/>
  <version/>
</coreProperties>
</file>

<file path=docProps/custom.xml><?xml version="1.0" encoding="utf-8"?>
<op:Properties xmlns:vt="http://schemas.openxmlformats.org/officeDocument/2006/docPropsVTypes" xmlns:op="http://schemas.openxmlformats.org/officeDocument/2006/custom-properties"/>
</file>