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FE2" w:rsidRPr="005A3FE2" w:rsidRDefault="005A3FE2" w:rsidP="005A3FE2">
      <w:pPr>
        <w:rPr>
          <w:rFonts w:ascii="Bookman Old Style" w:hAnsi="Bookman Old Style"/>
          <w:b/>
          <w:sz w:val="24"/>
        </w:rPr>
      </w:pPr>
      <w:bookmarkStart w:id="0" w:name="_GoBack"/>
      <w:bookmarkEnd w:id="0"/>
      <w:r w:rsidRPr="005A3FE2">
        <w:rPr>
          <w:rFonts w:ascii="Bookman Old Style" w:hAnsi="Bookman Old Style"/>
          <w:b/>
          <w:sz w:val="24"/>
        </w:rPr>
        <w:t>MEMORANDUM</w:t>
      </w:r>
    </w:p>
    <w:p w:rsidR="005A3FE2" w:rsidRPr="005A3FE2" w:rsidRDefault="005A3FE2" w:rsidP="005A3FE2">
      <w:pPr>
        <w:rPr>
          <w:rFonts w:ascii="Bookman Old Style" w:hAnsi="Bookman Old Style"/>
          <w:b/>
          <w:sz w:val="24"/>
        </w:rPr>
      </w:pPr>
    </w:p>
    <w:p w:rsidR="006308AB" w:rsidRDefault="005A3FE2" w:rsidP="005A3FE2">
      <w:pPr>
        <w:rPr>
          <w:rFonts w:ascii="Bookman Old Style" w:hAnsi="Bookman Old Style"/>
          <w:b/>
          <w:sz w:val="24"/>
        </w:rPr>
      </w:pPr>
      <w:r w:rsidRPr="005A3FE2">
        <w:rPr>
          <w:rFonts w:ascii="Bookman Old Style" w:hAnsi="Bookman Old Style"/>
          <w:b/>
          <w:sz w:val="24"/>
        </w:rPr>
        <w:t>To:</w:t>
      </w:r>
      <w:r w:rsidRPr="005A3FE2">
        <w:rPr>
          <w:rFonts w:ascii="Bookman Old Style" w:hAnsi="Bookman Old Style"/>
          <w:b/>
          <w:sz w:val="24"/>
        </w:rPr>
        <w:tab/>
      </w:r>
      <w:r w:rsidR="006308AB">
        <w:rPr>
          <w:rFonts w:ascii="Bookman Old Style" w:hAnsi="Bookman Old Style"/>
          <w:b/>
          <w:sz w:val="24"/>
        </w:rPr>
        <w:tab/>
      </w:r>
      <w:r w:rsidRPr="005A3FE2">
        <w:rPr>
          <w:rFonts w:ascii="Bookman Old Style" w:hAnsi="Bookman Old Style"/>
          <w:b/>
          <w:sz w:val="24"/>
        </w:rPr>
        <w:t xml:space="preserve">C.J. Fresard, C.J.P.T. Smith, Interim Presiding </w:t>
      </w:r>
    </w:p>
    <w:p w:rsidR="005A3FE2" w:rsidRPr="005A3FE2" w:rsidRDefault="005A3FE2" w:rsidP="006308AB">
      <w:pPr>
        <w:ind w:left="720" w:firstLine="720"/>
        <w:rPr>
          <w:rFonts w:ascii="Bookman Old Style" w:hAnsi="Bookman Old Style"/>
          <w:b/>
          <w:sz w:val="24"/>
        </w:rPr>
      </w:pPr>
      <w:r w:rsidRPr="005A3FE2">
        <w:rPr>
          <w:rFonts w:ascii="Bookman Old Style" w:hAnsi="Bookman Old Style"/>
          <w:b/>
          <w:sz w:val="24"/>
        </w:rPr>
        <w:t>Judge Gibson, &amp; Colleagues</w:t>
      </w:r>
    </w:p>
    <w:p w:rsidR="005A3FE2" w:rsidRPr="005A3FE2" w:rsidRDefault="005A3FE2" w:rsidP="005A3FE2">
      <w:pPr>
        <w:rPr>
          <w:rFonts w:ascii="Bookman Old Style" w:hAnsi="Bookman Old Style"/>
          <w:b/>
          <w:sz w:val="24"/>
        </w:rPr>
      </w:pPr>
      <w:r w:rsidRPr="005A3FE2">
        <w:rPr>
          <w:rFonts w:ascii="Bookman Old Style" w:hAnsi="Bookman Old Style"/>
          <w:b/>
          <w:sz w:val="24"/>
        </w:rPr>
        <w:t>From:</w:t>
      </w:r>
      <w:r w:rsidRPr="005A3FE2">
        <w:rPr>
          <w:rFonts w:ascii="Bookman Old Style" w:hAnsi="Bookman Old Style"/>
          <w:b/>
          <w:sz w:val="24"/>
        </w:rPr>
        <w:tab/>
        <w:t>Attorney Compensation Committee</w:t>
      </w:r>
    </w:p>
    <w:p w:rsidR="005A3FE2" w:rsidRDefault="005A3FE2" w:rsidP="006308AB">
      <w:pPr>
        <w:ind w:left="1440" w:hanging="1440"/>
        <w:rPr>
          <w:rFonts w:ascii="Bookman Old Style" w:hAnsi="Bookman Old Style"/>
          <w:b/>
          <w:sz w:val="24"/>
        </w:rPr>
      </w:pPr>
      <w:r w:rsidRPr="005A3FE2">
        <w:rPr>
          <w:rFonts w:ascii="Bookman Old Style" w:hAnsi="Bookman Old Style"/>
          <w:b/>
          <w:sz w:val="24"/>
        </w:rPr>
        <w:t>RE:</w:t>
      </w:r>
      <w:r w:rsidRPr="005A3FE2">
        <w:rPr>
          <w:rFonts w:ascii="Bookman Old Style" w:hAnsi="Bookman Old Style"/>
          <w:b/>
          <w:sz w:val="24"/>
        </w:rPr>
        <w:tab/>
        <w:t>Proposed Revisions to Attorney Compensation Rates and Forms for Attorney Assignments</w:t>
      </w:r>
    </w:p>
    <w:p w:rsidR="006308AB" w:rsidRPr="005A3FE2" w:rsidRDefault="006308AB" w:rsidP="006308AB">
      <w:pPr>
        <w:pBdr>
          <w:bottom w:val="single" w:sz="12" w:space="1" w:color="auto"/>
        </w:pBdr>
        <w:ind w:left="1440" w:hanging="1440"/>
        <w:rPr>
          <w:rFonts w:ascii="Bookman Old Style" w:hAnsi="Bookman Old Style"/>
          <w:b/>
          <w:sz w:val="24"/>
        </w:rPr>
      </w:pPr>
      <w:r>
        <w:rPr>
          <w:rFonts w:ascii="Bookman Old Style" w:hAnsi="Bookman Old Style"/>
          <w:b/>
          <w:sz w:val="24"/>
        </w:rPr>
        <w:t>Date:</w:t>
      </w:r>
      <w:r>
        <w:rPr>
          <w:rFonts w:ascii="Bookman Old Style" w:hAnsi="Bookman Old Style"/>
          <w:b/>
          <w:sz w:val="24"/>
        </w:rPr>
        <w:tab/>
        <w:t>August 26, 2024</w:t>
      </w:r>
    </w:p>
    <w:p w:rsidR="006308AB" w:rsidRDefault="006308AB" w:rsidP="005A3FE2">
      <w:pPr>
        <w:rPr>
          <w:rFonts w:ascii="Bookman Old Style" w:hAnsi="Bookman Old Style"/>
          <w:sz w:val="24"/>
        </w:rPr>
      </w:pPr>
    </w:p>
    <w:p w:rsidR="006308AB" w:rsidRDefault="006308AB" w:rsidP="005A3FE2">
      <w:pPr>
        <w:rPr>
          <w:rFonts w:ascii="Bookman Old Style" w:hAnsi="Bookman Old Style"/>
          <w:sz w:val="24"/>
        </w:rPr>
      </w:pPr>
    </w:p>
    <w:p w:rsidR="006308AB" w:rsidRPr="006308AB" w:rsidRDefault="006308AB" w:rsidP="005A3FE2">
      <w:pPr>
        <w:rPr>
          <w:rFonts w:ascii="Bookman Old Style" w:hAnsi="Bookman Old Style"/>
          <w:b/>
          <w:sz w:val="24"/>
          <w:u w:val="single"/>
        </w:rPr>
      </w:pPr>
      <w:r w:rsidRPr="006308AB">
        <w:rPr>
          <w:rFonts w:ascii="Bookman Old Style" w:hAnsi="Bookman Old Style"/>
          <w:b/>
          <w:sz w:val="24"/>
          <w:u w:val="single"/>
        </w:rPr>
        <w:t xml:space="preserve">The Attorney Compensation Committee: </w:t>
      </w:r>
    </w:p>
    <w:p w:rsidR="006308AB" w:rsidRPr="005A3FE2" w:rsidRDefault="006308AB" w:rsidP="005A3FE2">
      <w:pPr>
        <w:rPr>
          <w:rFonts w:ascii="Bookman Old Style" w:hAnsi="Bookman Old Style"/>
          <w:sz w:val="24"/>
        </w:rPr>
      </w:pPr>
    </w:p>
    <w:p w:rsidR="005A3FE2" w:rsidRPr="005A3FE2" w:rsidRDefault="005A3FE2" w:rsidP="005A3FE2">
      <w:pPr>
        <w:rPr>
          <w:rFonts w:ascii="Bookman Old Style" w:hAnsi="Bookman Old Style"/>
          <w:sz w:val="24"/>
        </w:rPr>
      </w:pPr>
      <w:r w:rsidRPr="005A3FE2">
        <w:rPr>
          <w:rFonts w:ascii="Bookman Old Style" w:hAnsi="Bookman Old Style"/>
          <w:sz w:val="24"/>
        </w:rPr>
        <w:t>In early 2023, I formed an Attorney Compensation Committee (“ACC”) to review the rates of pay for the attorneys who serve in the Family Division, Juvenile Section</w:t>
      </w:r>
      <w:r w:rsidR="007B3F1D">
        <w:rPr>
          <w:rFonts w:ascii="Bookman Old Style" w:hAnsi="Bookman Old Style"/>
          <w:sz w:val="24"/>
        </w:rPr>
        <w:t xml:space="preserve"> and any ancillary issues</w:t>
      </w:r>
      <w:r w:rsidRPr="005A3FE2">
        <w:rPr>
          <w:rFonts w:ascii="Bookman Old Style" w:hAnsi="Bookman Old Style"/>
          <w:sz w:val="24"/>
        </w:rPr>
        <w:t xml:space="preserve">.  Judge Mike McClory graciously agreed to serve as Chairperson of the ACC.  The following Referees, Staff, and Attorneys also agreed to serve:  Ref. LaChelle Logan; Referee Dan McGuire; Director of Operations, Edna Clark; Chief Ref. James Catchings; Atty. Janice L. Burns; Atty. Steve Gilbert; Atty. Thomasine Jefferson; Atty. Julie Nelson-Klein; and Atty. Marc Shreeman, who is also one of the Juvenile Trial Lawyers Association leadership team members and Past Presidents.   DCA ToieLynn Smith also attended meetings as needed and/or requested to weigh in from an administrative point of view.  </w:t>
      </w:r>
    </w:p>
    <w:p w:rsidR="005A3FE2" w:rsidRPr="005A3FE2" w:rsidRDefault="005A3FE2" w:rsidP="005A3FE2">
      <w:pPr>
        <w:rPr>
          <w:rFonts w:ascii="Bookman Old Style" w:hAnsi="Bookman Old Style"/>
          <w:sz w:val="24"/>
        </w:rPr>
      </w:pPr>
    </w:p>
    <w:p w:rsidR="005A3FE2" w:rsidRPr="005A3FE2" w:rsidRDefault="005A3FE2" w:rsidP="005A3FE2">
      <w:pPr>
        <w:rPr>
          <w:rFonts w:ascii="Bookman Old Style" w:hAnsi="Bookman Old Style"/>
          <w:sz w:val="24"/>
        </w:rPr>
      </w:pPr>
      <w:r w:rsidRPr="005A3FE2">
        <w:rPr>
          <w:rFonts w:ascii="Bookman Old Style" w:hAnsi="Bookman Old Style"/>
          <w:sz w:val="24"/>
        </w:rPr>
        <w:t xml:space="preserve">I am truly grateful to Judge McClory for his leadership and tireless efforts in support of the ACC.  He convened and conducted countless meetings with the ACC, Juvenile Section/Court administration, the Wayne County Clerk’s Juvenile Section leadership team, </w:t>
      </w:r>
      <w:r w:rsidR="007B3F1D">
        <w:rPr>
          <w:rFonts w:ascii="Bookman Old Style" w:hAnsi="Bookman Old Style"/>
          <w:sz w:val="24"/>
        </w:rPr>
        <w:t xml:space="preserve">ITSB, Budget Department, </w:t>
      </w:r>
      <w:r w:rsidRPr="005A3FE2">
        <w:rPr>
          <w:rFonts w:ascii="Bookman Old Style" w:hAnsi="Bookman Old Style"/>
          <w:sz w:val="24"/>
        </w:rPr>
        <w:t xml:space="preserve">and others.  I also thank each of the ACC committee members for all of their hard work, research, and efforts relative to this vital issue!  This important work could not have been completed without their collective time and energy.  </w:t>
      </w:r>
    </w:p>
    <w:p w:rsidR="005A3FE2" w:rsidRPr="005A3FE2" w:rsidRDefault="005A3FE2" w:rsidP="005A3FE2">
      <w:pPr>
        <w:rPr>
          <w:rFonts w:ascii="Bookman Old Style" w:hAnsi="Bookman Old Style"/>
          <w:sz w:val="24"/>
        </w:rPr>
      </w:pPr>
    </w:p>
    <w:p w:rsidR="006308AB" w:rsidRDefault="006308AB" w:rsidP="005A3FE2">
      <w:pPr>
        <w:rPr>
          <w:rFonts w:ascii="Bookman Old Style" w:hAnsi="Bookman Old Style"/>
          <w:b/>
          <w:sz w:val="24"/>
          <w:u w:val="single"/>
        </w:rPr>
      </w:pPr>
    </w:p>
    <w:p w:rsidR="005A3FE2" w:rsidRPr="005A3FE2" w:rsidRDefault="006308AB" w:rsidP="005A3FE2">
      <w:pPr>
        <w:rPr>
          <w:rFonts w:ascii="Bookman Old Style" w:hAnsi="Bookman Old Style"/>
          <w:b/>
          <w:sz w:val="24"/>
          <w:u w:val="single"/>
        </w:rPr>
      </w:pPr>
      <w:r>
        <w:rPr>
          <w:rFonts w:ascii="Bookman Old Style" w:hAnsi="Bookman Old Style"/>
          <w:b/>
          <w:sz w:val="24"/>
          <w:u w:val="single"/>
        </w:rPr>
        <w:t xml:space="preserve">Historic </w:t>
      </w:r>
      <w:r w:rsidR="005A3FE2" w:rsidRPr="005A3FE2">
        <w:rPr>
          <w:rFonts w:ascii="Bookman Old Style" w:hAnsi="Bookman Old Style"/>
          <w:b/>
          <w:sz w:val="24"/>
          <w:u w:val="single"/>
        </w:rPr>
        <w:t>Background Information:</w:t>
      </w:r>
    </w:p>
    <w:p w:rsidR="005A3FE2" w:rsidRPr="005A3FE2" w:rsidRDefault="005A3FE2" w:rsidP="005A3FE2">
      <w:pPr>
        <w:rPr>
          <w:rFonts w:ascii="Bookman Old Style" w:hAnsi="Bookman Old Style"/>
          <w:sz w:val="24"/>
        </w:rPr>
      </w:pPr>
    </w:p>
    <w:p w:rsidR="005A3FE2" w:rsidRDefault="005A3FE2" w:rsidP="005A3FE2">
      <w:pPr>
        <w:rPr>
          <w:rFonts w:ascii="Bookman Old Style" w:hAnsi="Bookman Old Style" w:cs="Helvetica"/>
          <w:color w:val="1D2228"/>
          <w:sz w:val="24"/>
          <w:szCs w:val="24"/>
        </w:rPr>
      </w:pPr>
      <w:r w:rsidRPr="005A3FE2">
        <w:rPr>
          <w:rFonts w:ascii="Bookman Old Style" w:hAnsi="Bookman Old Style"/>
          <w:sz w:val="24"/>
        </w:rPr>
        <w:t xml:space="preserve">By way of background, </w:t>
      </w:r>
      <w:r w:rsidR="007B3F1D">
        <w:rPr>
          <w:rFonts w:ascii="Bookman Old Style" w:hAnsi="Bookman Old Style"/>
          <w:sz w:val="24"/>
        </w:rPr>
        <w:t>we</w:t>
      </w:r>
      <w:r w:rsidRPr="005A3FE2">
        <w:rPr>
          <w:rFonts w:ascii="Bookman Old Style" w:hAnsi="Bookman Old Style"/>
          <w:sz w:val="24"/>
        </w:rPr>
        <w:t xml:space="preserve"> have a</w:t>
      </w:r>
      <w:r w:rsidRPr="005A3FE2">
        <w:rPr>
          <w:rFonts w:ascii="Bookman Old Style" w:hAnsi="Bookman Old Style" w:cs="Helvetica"/>
          <w:color w:val="1D2228"/>
          <w:sz w:val="24"/>
          <w:szCs w:val="24"/>
        </w:rPr>
        <w:t>ttached the current fee schedule, which was implemented in 2016</w:t>
      </w:r>
      <w:r w:rsidR="007B3F1D">
        <w:rPr>
          <w:rFonts w:ascii="Bookman Old Style" w:hAnsi="Bookman Old Style" w:cs="Helvetica"/>
          <w:color w:val="1D2228"/>
          <w:sz w:val="24"/>
          <w:szCs w:val="24"/>
        </w:rPr>
        <w:t>, but did not include fee increases and instead, maintained the 1990 fee structure</w:t>
      </w:r>
      <w:r w:rsidRPr="005A3FE2">
        <w:rPr>
          <w:rFonts w:ascii="Bookman Old Style" w:hAnsi="Bookman Old Style" w:cs="Helvetica"/>
          <w:color w:val="1D2228"/>
          <w:sz w:val="24"/>
          <w:szCs w:val="24"/>
        </w:rPr>
        <w:t>.</w:t>
      </w:r>
      <w:r w:rsidR="006308AB">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 xml:space="preserve"> </w:t>
      </w:r>
      <w:r w:rsidR="007B3F1D" w:rsidRPr="007B3F1D">
        <w:rPr>
          <w:rFonts w:ascii="Bookman Old Style" w:hAnsi="Bookman Old Style" w:cs="Helvetica"/>
          <w:i/>
          <w:color w:val="1D2228"/>
          <w:sz w:val="24"/>
          <w:szCs w:val="24"/>
        </w:rPr>
        <w:t>See the attached letter and fee schedule dated March 16, 2016.</w:t>
      </w:r>
      <w:r w:rsidR="007B3F1D">
        <w:rPr>
          <w:rFonts w:ascii="Bookman Old Style" w:hAnsi="Bookman Old Style" w:cs="Helvetica"/>
          <w:i/>
          <w:color w:val="1D2228"/>
          <w:sz w:val="24"/>
          <w:szCs w:val="24"/>
        </w:rPr>
        <w:t xml:space="preserve">  </w:t>
      </w:r>
      <w:r w:rsidRPr="005A3FE2">
        <w:rPr>
          <w:rFonts w:ascii="Bookman Old Style" w:hAnsi="Bookman Old Style" w:cs="Helvetica"/>
          <w:color w:val="1D2228"/>
          <w:sz w:val="24"/>
          <w:szCs w:val="24"/>
        </w:rPr>
        <w:t>Please note that the stated goal of the change in 2016 was to "eliminate deductions....</w:t>
      </w:r>
      <w:r w:rsidR="006308AB">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which will dramatically reduce the number of problem vouchers filed with the court.”</w:t>
      </w:r>
      <w:r w:rsidR="006308AB">
        <w:rPr>
          <w:rFonts w:ascii="Bookman Old Style" w:hAnsi="Bookman Old Style" w:cs="Helvetica"/>
          <w:color w:val="1D2228"/>
          <w:sz w:val="24"/>
          <w:szCs w:val="24"/>
        </w:rPr>
        <w:t xml:space="preserve">  </w:t>
      </w:r>
      <w:r w:rsidR="007B3F1D" w:rsidRPr="007B3F1D">
        <w:rPr>
          <w:rFonts w:ascii="Bookman Old Style" w:hAnsi="Bookman Old Style" w:cs="Helvetica"/>
          <w:i/>
          <w:color w:val="1D2228"/>
          <w:sz w:val="24"/>
          <w:szCs w:val="24"/>
        </w:rPr>
        <w:t>Id.</w:t>
      </w:r>
      <w:r w:rsidR="006308AB">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Thus, the changes in 2016 merely made it easier for administration to avoid "problem vouchers" that were being submitted by attorneys who had been short changed on the fee schedule.</w:t>
      </w:r>
      <w:r w:rsidR="006308AB">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 xml:space="preserve"> </w:t>
      </w:r>
      <w:r w:rsidR="007B3F1D" w:rsidRPr="007B3F1D">
        <w:rPr>
          <w:rFonts w:ascii="Bookman Old Style" w:hAnsi="Bookman Old Style" w:cs="Helvetica"/>
          <w:i/>
          <w:color w:val="1D2228"/>
          <w:sz w:val="24"/>
          <w:szCs w:val="24"/>
        </w:rPr>
        <w:t>Id.</w:t>
      </w:r>
      <w:r w:rsidR="007B3F1D">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It did not increase compensation at all, and probably decreased it by no longer paying for preliminary hearings and other changes.</w:t>
      </w:r>
      <w:r w:rsidR="007B3F1D">
        <w:rPr>
          <w:rFonts w:ascii="Bookman Old Style" w:hAnsi="Bookman Old Style" w:cs="Helvetica"/>
          <w:color w:val="1D2228"/>
          <w:sz w:val="24"/>
          <w:szCs w:val="24"/>
        </w:rPr>
        <w:t xml:space="preserve">  </w:t>
      </w:r>
      <w:r w:rsidR="007B3F1D" w:rsidRPr="007B3F1D">
        <w:rPr>
          <w:rFonts w:ascii="Bookman Old Style" w:hAnsi="Bookman Old Style" w:cs="Helvetica"/>
          <w:i/>
          <w:color w:val="1D2228"/>
          <w:sz w:val="24"/>
          <w:szCs w:val="24"/>
        </w:rPr>
        <w:t>Id.</w:t>
      </w:r>
      <w:r w:rsidR="007B3F1D">
        <w:rPr>
          <w:rFonts w:ascii="Bookman Old Style" w:hAnsi="Bookman Old Style" w:cs="Helvetica"/>
          <w:color w:val="1D2228"/>
          <w:sz w:val="24"/>
          <w:szCs w:val="24"/>
        </w:rPr>
        <w:t xml:space="preserve"> </w:t>
      </w:r>
    </w:p>
    <w:p w:rsidR="006308AB" w:rsidRPr="005A3FE2" w:rsidRDefault="006308AB" w:rsidP="005A3FE2">
      <w:pPr>
        <w:rPr>
          <w:rFonts w:ascii="Bookman Old Style" w:hAnsi="Bookman Old Style"/>
          <w:sz w:val="24"/>
        </w:rPr>
      </w:pPr>
    </w:p>
    <w:p w:rsidR="006308AB" w:rsidRPr="005A3FE2" w:rsidRDefault="006308AB" w:rsidP="006308AB">
      <w:pPr>
        <w:rPr>
          <w:rFonts w:ascii="Bookman Old Style" w:hAnsi="Bookman Old Style" w:cs="Helvetica"/>
          <w:color w:val="1D2228"/>
          <w:sz w:val="24"/>
          <w:szCs w:val="24"/>
        </w:rPr>
      </w:pPr>
      <w:r w:rsidRPr="005A3FE2">
        <w:rPr>
          <w:rFonts w:ascii="Bookman Old Style" w:hAnsi="Bookman Old Style" w:cs="Helvetica"/>
          <w:color w:val="1D2228"/>
          <w:sz w:val="24"/>
          <w:szCs w:val="24"/>
        </w:rPr>
        <w:t>The</w:t>
      </w:r>
      <w:r>
        <w:rPr>
          <w:rFonts w:ascii="Bookman Old Style" w:hAnsi="Bookman Old Style" w:cs="Helvetica"/>
          <w:color w:val="1D2228"/>
          <w:sz w:val="24"/>
          <w:szCs w:val="24"/>
        </w:rPr>
        <w:t xml:space="preserve"> current </w:t>
      </w:r>
      <w:r w:rsidRPr="005A3FE2">
        <w:rPr>
          <w:rFonts w:ascii="Bookman Old Style" w:hAnsi="Bookman Old Style" w:cs="Helvetica"/>
          <w:color w:val="1D2228"/>
          <w:sz w:val="24"/>
          <w:szCs w:val="24"/>
        </w:rPr>
        <w:t xml:space="preserve">fees have been in place </w:t>
      </w:r>
      <w:r w:rsidRPr="005A3FE2">
        <w:rPr>
          <w:rFonts w:ascii="Bookman Old Style" w:hAnsi="Bookman Old Style" w:cs="Helvetica"/>
          <w:color w:val="1D2228"/>
          <w:sz w:val="24"/>
          <w:szCs w:val="24"/>
          <w:u w:val="single"/>
        </w:rPr>
        <w:t>since 1990</w:t>
      </w:r>
      <w:r w:rsidRPr="005A3FE2">
        <w:rPr>
          <w:rFonts w:ascii="Bookman Old Style" w:hAnsi="Bookman Old Style" w:cs="Helvetica"/>
          <w:color w:val="1D2228"/>
          <w:sz w:val="24"/>
          <w:szCs w:val="24"/>
        </w:rPr>
        <w:t>.</w:t>
      </w:r>
      <w:r>
        <w:rPr>
          <w:rFonts w:ascii="Bookman Old Style" w:hAnsi="Bookman Old Style" w:cs="Helvetica"/>
          <w:color w:val="1D2228"/>
          <w:sz w:val="24"/>
          <w:szCs w:val="24"/>
        </w:rPr>
        <w:t xml:space="preserve">  </w:t>
      </w:r>
      <w:r w:rsidR="007B3F1D" w:rsidRPr="007B3F1D">
        <w:rPr>
          <w:rFonts w:ascii="Bookman Old Style" w:hAnsi="Bookman Old Style" w:cs="Helvetica"/>
          <w:i/>
          <w:color w:val="1D2228"/>
          <w:sz w:val="24"/>
          <w:szCs w:val="24"/>
        </w:rPr>
        <w:t xml:space="preserve">See </w:t>
      </w:r>
      <w:r w:rsidR="00FC1F68">
        <w:rPr>
          <w:rFonts w:ascii="Bookman Old Style" w:hAnsi="Bookman Old Style" w:cs="Helvetica"/>
          <w:i/>
          <w:color w:val="1D2228"/>
          <w:sz w:val="24"/>
          <w:szCs w:val="24"/>
        </w:rPr>
        <w:t xml:space="preserve">attached </w:t>
      </w:r>
      <w:r w:rsidR="007B3F1D" w:rsidRPr="007B3F1D">
        <w:rPr>
          <w:rFonts w:ascii="Bookman Old Style" w:hAnsi="Bookman Old Style" w:cs="Helvetica"/>
          <w:i/>
          <w:color w:val="1D2228"/>
          <w:sz w:val="24"/>
          <w:szCs w:val="24"/>
        </w:rPr>
        <w:t>current fee schedule</w:t>
      </w:r>
      <w:r w:rsidR="007B3F1D">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 xml:space="preserve">The 1990 change </w:t>
      </w:r>
      <w:r w:rsidRPr="005A3FE2">
        <w:rPr>
          <w:rFonts w:ascii="Bookman Old Style" w:hAnsi="Bookman Old Style" w:cs="Helvetica"/>
          <w:color w:val="1D2228"/>
          <w:sz w:val="24"/>
          <w:szCs w:val="24"/>
          <w:u w:val="single"/>
        </w:rPr>
        <w:t>reduced</w:t>
      </w:r>
      <w:r w:rsidRPr="005A3FE2">
        <w:rPr>
          <w:rFonts w:ascii="Bookman Old Style" w:hAnsi="Bookman Old Style" w:cs="Helvetica"/>
          <w:color w:val="1D2228"/>
          <w:sz w:val="24"/>
          <w:szCs w:val="24"/>
        </w:rPr>
        <w:t xml:space="preserve"> attorney compensation.</w:t>
      </w:r>
      <w:r>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 xml:space="preserve"> Prior to 1990, every DRH/PPH paid $150.00 instead of paying the current $100.00.</w:t>
      </w:r>
      <w:r>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Attorneys were also paid for every adjourned hearing in which they appeared, which was eliminated in 1990.</w:t>
      </w:r>
      <w:r>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Thus, Attorney compensation fees in the Juvenile Section were reduced by approximately 30% in 1990 and have remained stagnant for 33 years.</w:t>
      </w:r>
    </w:p>
    <w:p w:rsidR="005A3FE2" w:rsidRDefault="005A3FE2" w:rsidP="005A3FE2">
      <w:pPr>
        <w:rPr>
          <w:rFonts w:ascii="Bookman Old Style" w:hAnsi="Bookman Old Style" w:cs="Helvetica"/>
          <w:color w:val="1D2228"/>
          <w:sz w:val="24"/>
          <w:szCs w:val="24"/>
        </w:rPr>
      </w:pPr>
    </w:p>
    <w:p w:rsidR="006308AB" w:rsidRPr="005A3FE2" w:rsidRDefault="006308AB" w:rsidP="005A3FE2">
      <w:pPr>
        <w:rPr>
          <w:rFonts w:ascii="Bookman Old Style" w:hAnsi="Bookman Old Style" w:cs="Helvetica"/>
          <w:color w:val="1D2228"/>
          <w:sz w:val="24"/>
          <w:szCs w:val="24"/>
        </w:rPr>
      </w:pPr>
    </w:p>
    <w:p w:rsidR="005A3FE2" w:rsidRPr="005A3FE2" w:rsidRDefault="005A3FE2" w:rsidP="005A3FE2">
      <w:pPr>
        <w:rPr>
          <w:rFonts w:ascii="Bookman Old Style" w:hAnsi="Bookman Old Style" w:cs="Helvetica"/>
          <w:b/>
          <w:color w:val="1D2228"/>
          <w:sz w:val="24"/>
          <w:szCs w:val="24"/>
          <w:u w:val="single"/>
        </w:rPr>
      </w:pPr>
      <w:r w:rsidRPr="005A3FE2">
        <w:rPr>
          <w:rFonts w:ascii="Bookman Old Style" w:hAnsi="Bookman Old Style" w:cs="Helvetica"/>
          <w:b/>
          <w:color w:val="1D2228"/>
          <w:sz w:val="24"/>
          <w:szCs w:val="24"/>
          <w:u w:val="single"/>
        </w:rPr>
        <w:t>Current Status of Attorney Payment</w:t>
      </w:r>
      <w:r w:rsidR="006308AB">
        <w:rPr>
          <w:rFonts w:ascii="Bookman Old Style" w:hAnsi="Bookman Old Style" w:cs="Helvetica"/>
          <w:b/>
          <w:color w:val="1D2228"/>
          <w:sz w:val="24"/>
          <w:szCs w:val="24"/>
          <w:u w:val="single"/>
        </w:rPr>
        <w:t xml:space="preserve"> Rates</w:t>
      </w:r>
      <w:r w:rsidRPr="005A3FE2">
        <w:rPr>
          <w:rFonts w:ascii="Bookman Old Style" w:hAnsi="Bookman Old Style" w:cs="Helvetica"/>
          <w:b/>
          <w:color w:val="1D2228"/>
          <w:sz w:val="24"/>
          <w:szCs w:val="24"/>
          <w:u w:val="single"/>
        </w:rPr>
        <w:t xml:space="preserve">:  </w:t>
      </w:r>
    </w:p>
    <w:p w:rsidR="005A3FE2" w:rsidRPr="005A3FE2" w:rsidRDefault="005A3FE2" w:rsidP="005A3FE2">
      <w:pPr>
        <w:rPr>
          <w:rFonts w:ascii="Bookman Old Style" w:hAnsi="Bookman Old Style" w:cs="Helvetica"/>
          <w:color w:val="1D2228"/>
          <w:sz w:val="24"/>
          <w:szCs w:val="24"/>
        </w:rPr>
      </w:pPr>
    </w:p>
    <w:p w:rsidR="005A3FE2" w:rsidRPr="005A3FE2" w:rsidRDefault="005A3FE2" w:rsidP="005A3FE2">
      <w:pPr>
        <w:rPr>
          <w:rFonts w:ascii="Bookman Old Style" w:hAnsi="Bookman Old Style" w:cs="Helvetica"/>
          <w:color w:val="1D2228"/>
          <w:sz w:val="24"/>
          <w:szCs w:val="24"/>
        </w:rPr>
      </w:pPr>
      <w:r w:rsidRPr="005A3FE2">
        <w:rPr>
          <w:rFonts w:ascii="Bookman Old Style" w:hAnsi="Bookman Old Style" w:cs="Helvetica"/>
          <w:color w:val="1D2228"/>
          <w:sz w:val="24"/>
          <w:szCs w:val="24"/>
        </w:rPr>
        <w:t xml:space="preserve">As you will see from the attached current fee schedule, currently an attorney </w:t>
      </w:r>
      <w:r w:rsidR="006308AB">
        <w:rPr>
          <w:rFonts w:ascii="Bookman Old Style" w:hAnsi="Bookman Old Style" w:cs="Helvetica"/>
          <w:color w:val="1D2228"/>
          <w:sz w:val="24"/>
          <w:szCs w:val="24"/>
        </w:rPr>
        <w:t>earn</w:t>
      </w:r>
      <w:r w:rsidRPr="005A3FE2">
        <w:rPr>
          <w:rFonts w:ascii="Bookman Old Style" w:hAnsi="Bookman Old Style" w:cs="Helvetica"/>
          <w:color w:val="1D2228"/>
          <w:sz w:val="24"/>
          <w:szCs w:val="24"/>
        </w:rPr>
        <w:t>s $500.00 for attending a Preliminary Hearing, Pre-Trial, Trial, and Dispositional Hearing.</w:t>
      </w:r>
      <w:r w:rsidR="006308AB">
        <w:rPr>
          <w:rFonts w:ascii="Bookman Old Style" w:hAnsi="Bookman Old Style" w:cs="Helvetica"/>
          <w:color w:val="1D2228"/>
          <w:sz w:val="24"/>
          <w:szCs w:val="24"/>
        </w:rPr>
        <w:t xml:space="preserve">  </w:t>
      </w:r>
      <w:r w:rsidR="00FC1F68" w:rsidRPr="00FC1F68">
        <w:rPr>
          <w:rFonts w:ascii="Bookman Old Style" w:hAnsi="Bookman Old Style" w:cs="Helvetica"/>
          <w:i/>
          <w:color w:val="1D2228"/>
          <w:sz w:val="24"/>
          <w:szCs w:val="24"/>
        </w:rPr>
        <w:t>Id.</w:t>
      </w:r>
      <w:r w:rsidR="00FC1F68">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 xml:space="preserve">They also get paid $100.00 for every Dispositional Review Hearing and $50.00 for every Probation Review for the Delinquency matters.  </w:t>
      </w:r>
      <w:r w:rsidR="00FC1F68" w:rsidRPr="00FC1F68">
        <w:rPr>
          <w:rFonts w:ascii="Bookman Old Style" w:hAnsi="Bookman Old Style" w:cs="Helvetica"/>
          <w:i/>
          <w:color w:val="1D2228"/>
          <w:sz w:val="24"/>
          <w:szCs w:val="24"/>
        </w:rPr>
        <w:t>Id.</w:t>
      </w:r>
      <w:r w:rsidR="00FC1F68">
        <w:rPr>
          <w:rFonts w:ascii="Bookman Old Style" w:hAnsi="Bookman Old Style" w:cs="Helvetica"/>
          <w:i/>
          <w:color w:val="1D2228"/>
          <w:sz w:val="24"/>
          <w:szCs w:val="24"/>
        </w:rPr>
        <w:t xml:space="preserve">  </w:t>
      </w:r>
      <w:r w:rsidR="00047519">
        <w:rPr>
          <w:rFonts w:ascii="Bookman Old Style" w:hAnsi="Bookman Old Style" w:cs="Helvetica"/>
          <w:color w:val="1D2228"/>
          <w:sz w:val="24"/>
          <w:szCs w:val="24"/>
        </w:rPr>
        <w:t xml:space="preserve">Significantly, the </w:t>
      </w:r>
      <w:r w:rsidRPr="005A3FE2">
        <w:rPr>
          <w:rFonts w:ascii="Bookman Old Style" w:hAnsi="Bookman Old Style" w:cs="Helvetica"/>
          <w:color w:val="1D2228"/>
          <w:sz w:val="24"/>
          <w:szCs w:val="24"/>
        </w:rPr>
        <w:t xml:space="preserve">Attorneys </w:t>
      </w:r>
      <w:r w:rsidRPr="00047519">
        <w:rPr>
          <w:rFonts w:ascii="Bookman Old Style" w:hAnsi="Bookman Old Style" w:cs="Helvetica"/>
          <w:color w:val="1D2228"/>
          <w:sz w:val="24"/>
          <w:szCs w:val="24"/>
          <w:u w:val="single"/>
        </w:rPr>
        <w:t>do not get paid</w:t>
      </w:r>
      <w:r w:rsidRPr="005A3FE2">
        <w:rPr>
          <w:rFonts w:ascii="Bookman Old Style" w:hAnsi="Bookman Old Style" w:cs="Helvetica"/>
          <w:color w:val="1D2228"/>
          <w:sz w:val="24"/>
          <w:szCs w:val="24"/>
        </w:rPr>
        <w:t xml:space="preserve"> for the following proceedings: MDHHS Family Team Meetings (FTMs) and Team Decision Meetings (TDMs) despite the impacts those meetings routinely have upon their clients; attendance at Foster Care Review Board Hearings, again despite </w:t>
      </w:r>
      <w:r w:rsidR="006308AB">
        <w:rPr>
          <w:rFonts w:ascii="Bookman Old Style" w:hAnsi="Bookman Old Style" w:cs="Helvetica"/>
          <w:color w:val="1D2228"/>
          <w:sz w:val="24"/>
          <w:szCs w:val="24"/>
        </w:rPr>
        <w:t>the impacts those hearings have upon Parents and children</w:t>
      </w:r>
      <w:r w:rsidRPr="005A3FE2">
        <w:rPr>
          <w:rFonts w:ascii="Bookman Old Style" w:hAnsi="Bookman Old Style" w:cs="Helvetica"/>
          <w:color w:val="1D2228"/>
          <w:sz w:val="24"/>
          <w:szCs w:val="24"/>
        </w:rPr>
        <w:t xml:space="preserve">; case conferences; trial prep or client meetings; </w:t>
      </w:r>
      <w:r w:rsidR="00047519">
        <w:rPr>
          <w:rFonts w:ascii="Bookman Old Style" w:hAnsi="Bookman Old Style" w:cs="Helvetica"/>
          <w:color w:val="1D2228"/>
          <w:sz w:val="24"/>
          <w:szCs w:val="24"/>
        </w:rPr>
        <w:t xml:space="preserve">and </w:t>
      </w:r>
      <w:r w:rsidR="006308AB">
        <w:rPr>
          <w:rFonts w:ascii="Bookman Old Style" w:hAnsi="Bookman Old Style" w:cs="Helvetica"/>
          <w:color w:val="1D2228"/>
          <w:sz w:val="24"/>
          <w:szCs w:val="24"/>
        </w:rPr>
        <w:t xml:space="preserve">pretrial </w:t>
      </w:r>
      <w:r w:rsidRPr="005A3FE2">
        <w:rPr>
          <w:rFonts w:ascii="Bookman Old Style" w:hAnsi="Bookman Old Style" w:cs="Helvetica"/>
          <w:color w:val="1D2228"/>
          <w:sz w:val="24"/>
          <w:szCs w:val="24"/>
        </w:rPr>
        <w:t>adjournments</w:t>
      </w:r>
      <w:r w:rsidR="006308AB">
        <w:rPr>
          <w:rFonts w:ascii="Bookman Old Style" w:hAnsi="Bookman Old Style" w:cs="Helvetica"/>
          <w:color w:val="1D2228"/>
          <w:sz w:val="24"/>
          <w:szCs w:val="24"/>
        </w:rPr>
        <w:t xml:space="preserve">, </w:t>
      </w:r>
      <w:r w:rsidRPr="005A3FE2">
        <w:rPr>
          <w:rFonts w:ascii="Bookman Old Style" w:hAnsi="Bookman Old Style" w:cs="Helvetica"/>
          <w:color w:val="1D2228"/>
          <w:sz w:val="24"/>
          <w:szCs w:val="24"/>
        </w:rPr>
        <w:t>regardless of who requested the adjournment/continuation</w:t>
      </w:r>
      <w:r w:rsidR="00047519">
        <w:rPr>
          <w:rFonts w:ascii="Bookman Old Style" w:hAnsi="Bookman Old Style" w:cs="Helvetica"/>
          <w:color w:val="1D2228"/>
          <w:sz w:val="24"/>
          <w:szCs w:val="24"/>
        </w:rPr>
        <w:t>.</w:t>
      </w:r>
      <w:r w:rsidR="00FC1F68">
        <w:rPr>
          <w:rFonts w:ascii="Bookman Old Style" w:hAnsi="Bookman Old Style" w:cs="Helvetica"/>
          <w:color w:val="1D2228"/>
          <w:sz w:val="24"/>
          <w:szCs w:val="24"/>
        </w:rPr>
        <w:t xml:space="preserve">  </w:t>
      </w:r>
      <w:r w:rsidR="00FC1F68" w:rsidRPr="00FC1F68">
        <w:rPr>
          <w:rFonts w:ascii="Bookman Old Style" w:hAnsi="Bookman Old Style" w:cs="Helvetica"/>
          <w:i/>
          <w:color w:val="1D2228"/>
          <w:sz w:val="24"/>
          <w:szCs w:val="24"/>
        </w:rPr>
        <w:t>Id.</w:t>
      </w:r>
    </w:p>
    <w:p w:rsidR="005A3FE2" w:rsidRPr="005A3FE2" w:rsidRDefault="005A3FE2" w:rsidP="005A3FE2">
      <w:pPr>
        <w:rPr>
          <w:rFonts w:ascii="Bookman Old Style" w:hAnsi="Bookman Old Style" w:cs="Helvetica"/>
          <w:color w:val="1D2228"/>
          <w:sz w:val="24"/>
          <w:szCs w:val="24"/>
        </w:rPr>
      </w:pPr>
    </w:p>
    <w:p w:rsidR="00047519" w:rsidRDefault="005A3FE2" w:rsidP="005A3FE2">
      <w:pPr>
        <w:rPr>
          <w:rFonts w:ascii="Bookman Old Style" w:hAnsi="Bookman Old Style" w:cs="Helvetica"/>
          <w:color w:val="1D2228"/>
          <w:sz w:val="24"/>
          <w:szCs w:val="24"/>
        </w:rPr>
      </w:pPr>
      <w:r w:rsidRPr="005A3FE2">
        <w:rPr>
          <w:rFonts w:ascii="Bookman Old Style" w:hAnsi="Bookman Old Style" w:cs="Helvetica"/>
          <w:color w:val="1D2228"/>
          <w:sz w:val="24"/>
          <w:szCs w:val="24"/>
        </w:rPr>
        <w:t>I</w:t>
      </w:r>
      <w:r w:rsidR="00047519">
        <w:rPr>
          <w:rFonts w:ascii="Bookman Old Style" w:hAnsi="Bookman Old Style" w:cs="Helvetica"/>
          <w:color w:val="1D2228"/>
          <w:sz w:val="24"/>
          <w:szCs w:val="24"/>
        </w:rPr>
        <w:t>t is our understanding that in</w:t>
      </w:r>
      <w:r w:rsidRPr="005A3FE2">
        <w:rPr>
          <w:rFonts w:ascii="Bookman Old Style" w:hAnsi="Bookman Old Style" w:cs="Helvetica"/>
          <w:color w:val="1D2228"/>
          <w:sz w:val="24"/>
          <w:szCs w:val="24"/>
        </w:rPr>
        <w:t xml:space="preserve"> the Family Division, Domestic Relations Section, the attorneys are paid $500 per day for the Show Cause Docket.  By contrast, an attorney engaged in a full day of TRIAL in Juvenile Court is paid $250 to $300 per day (first 1/2 day of trial is $175).  </w:t>
      </w:r>
      <w:r w:rsidR="00FC1F68" w:rsidRPr="00FC1F68">
        <w:rPr>
          <w:rFonts w:ascii="Bookman Old Style" w:hAnsi="Bookman Old Style" w:cs="Helvetica"/>
          <w:i/>
          <w:color w:val="1D2228"/>
          <w:sz w:val="24"/>
          <w:szCs w:val="24"/>
        </w:rPr>
        <w:t>Id.</w:t>
      </w:r>
      <w:r w:rsidR="00FC1F68">
        <w:rPr>
          <w:rFonts w:ascii="Bookman Old Style" w:hAnsi="Bookman Old Style" w:cs="Helvetica"/>
          <w:i/>
          <w:color w:val="1D2228"/>
          <w:sz w:val="24"/>
          <w:szCs w:val="24"/>
        </w:rPr>
        <w:t xml:space="preserve">  </w:t>
      </w:r>
      <w:r w:rsidRPr="005A3FE2">
        <w:rPr>
          <w:rFonts w:ascii="Bookman Old Style" w:hAnsi="Bookman Old Style" w:cs="Helvetica"/>
          <w:color w:val="1D2228"/>
          <w:sz w:val="24"/>
          <w:szCs w:val="24"/>
        </w:rPr>
        <w:t xml:space="preserve">So, </w:t>
      </w:r>
      <w:r w:rsidR="00047519">
        <w:rPr>
          <w:rFonts w:ascii="Bookman Old Style" w:hAnsi="Bookman Old Style" w:cs="Helvetica"/>
          <w:color w:val="1D2228"/>
          <w:sz w:val="24"/>
          <w:szCs w:val="24"/>
        </w:rPr>
        <w:t xml:space="preserve">the court </w:t>
      </w:r>
      <w:r w:rsidRPr="005A3FE2">
        <w:rPr>
          <w:rFonts w:ascii="Bookman Old Style" w:hAnsi="Bookman Old Style" w:cs="Helvetica"/>
          <w:color w:val="1D2228"/>
          <w:sz w:val="24"/>
          <w:szCs w:val="24"/>
        </w:rPr>
        <w:t>pay</w:t>
      </w:r>
      <w:r w:rsidR="00103C96">
        <w:rPr>
          <w:rFonts w:ascii="Bookman Old Style" w:hAnsi="Bookman Old Style" w:cs="Helvetica"/>
          <w:color w:val="1D2228"/>
          <w:sz w:val="24"/>
          <w:szCs w:val="24"/>
        </w:rPr>
        <w:t>s</w:t>
      </w:r>
      <w:r w:rsidRPr="005A3FE2">
        <w:rPr>
          <w:rFonts w:ascii="Bookman Old Style" w:hAnsi="Bookman Old Style" w:cs="Helvetica"/>
          <w:color w:val="1D2228"/>
          <w:sz w:val="24"/>
          <w:szCs w:val="24"/>
        </w:rPr>
        <w:t xml:space="preserve"> twice as much to defend parents for violating court orders, as we do to protect families from being separated.  </w:t>
      </w:r>
      <w:r w:rsidR="00103C96">
        <w:rPr>
          <w:rFonts w:ascii="Bookman Old Style" w:hAnsi="Bookman Old Style" w:cs="Helvetica"/>
          <w:color w:val="1D2228"/>
          <w:sz w:val="24"/>
          <w:szCs w:val="24"/>
        </w:rPr>
        <w:t>That is completely untenable.</w:t>
      </w:r>
    </w:p>
    <w:p w:rsidR="00047519" w:rsidRDefault="00047519" w:rsidP="005A3FE2">
      <w:pPr>
        <w:rPr>
          <w:rFonts w:ascii="Bookman Old Style" w:hAnsi="Bookman Old Style" w:cs="Helvetica"/>
          <w:color w:val="1D2228"/>
          <w:sz w:val="24"/>
          <w:szCs w:val="24"/>
        </w:rPr>
      </w:pPr>
    </w:p>
    <w:p w:rsidR="005A3FE2" w:rsidRPr="005A3FE2" w:rsidRDefault="00103C96" w:rsidP="005A3FE2">
      <w:pPr>
        <w:rPr>
          <w:rFonts w:ascii="Bookman Old Style" w:hAnsi="Bookman Old Style" w:cs="Helvetica"/>
          <w:color w:val="1D2228"/>
          <w:sz w:val="24"/>
          <w:szCs w:val="24"/>
        </w:rPr>
      </w:pPr>
      <w:r>
        <w:rPr>
          <w:rFonts w:ascii="Bookman Old Style" w:hAnsi="Bookman Old Style" w:cs="Helvetica"/>
          <w:color w:val="1D2228"/>
          <w:sz w:val="24"/>
          <w:szCs w:val="24"/>
        </w:rPr>
        <w:t>In addition, t</w:t>
      </w:r>
      <w:r w:rsidR="005A3FE2" w:rsidRPr="005A3FE2">
        <w:rPr>
          <w:rFonts w:ascii="Bookman Old Style" w:hAnsi="Bookman Old Style" w:cs="Helvetica"/>
          <w:color w:val="1D2228"/>
          <w:sz w:val="24"/>
          <w:szCs w:val="24"/>
        </w:rPr>
        <w:t>his disparity also pales in comparison to the appointed Criminal Division attorney pay schedule</w:t>
      </w:r>
      <w:r w:rsidR="00047519">
        <w:rPr>
          <w:rFonts w:ascii="Bookman Old Style" w:hAnsi="Bookman Old Style" w:cs="Helvetica"/>
          <w:color w:val="1D2228"/>
          <w:sz w:val="24"/>
          <w:szCs w:val="24"/>
        </w:rPr>
        <w:t xml:space="preserve">.  </w:t>
      </w:r>
      <w:r>
        <w:rPr>
          <w:rFonts w:ascii="Bookman Old Style" w:hAnsi="Bookman Old Style" w:cs="Helvetica"/>
          <w:color w:val="1D2228"/>
          <w:sz w:val="24"/>
          <w:szCs w:val="24"/>
        </w:rPr>
        <w:t>Important</w:t>
      </w:r>
      <w:r w:rsidR="00047519">
        <w:rPr>
          <w:rFonts w:ascii="Bookman Old Style" w:hAnsi="Bookman Old Style" w:cs="Helvetica"/>
          <w:color w:val="1D2228"/>
          <w:sz w:val="24"/>
          <w:szCs w:val="24"/>
        </w:rPr>
        <w:t>ly, this is</w:t>
      </w:r>
      <w:r w:rsidR="005A3FE2" w:rsidRPr="005A3FE2">
        <w:rPr>
          <w:rFonts w:ascii="Bookman Old Style" w:hAnsi="Bookman Old Style" w:cs="Helvetica"/>
          <w:color w:val="1D2228"/>
          <w:sz w:val="24"/>
          <w:szCs w:val="24"/>
        </w:rPr>
        <w:t xml:space="preserve"> despite Juveniles being charged with the same types of serious offenses – Murder, Carjacking, CSC 1, etc.</w:t>
      </w:r>
      <w:r w:rsidR="00047519">
        <w:rPr>
          <w:rFonts w:ascii="Bookman Old Style" w:hAnsi="Bookman Old Style" w:cs="Helvetica"/>
          <w:color w:val="1D2228"/>
          <w:sz w:val="24"/>
          <w:szCs w:val="24"/>
        </w:rPr>
        <w:t xml:space="preserve"> and having the same types of proceedings – Jury Trials, Bench Trials, Preliminary Examinations, etc.  </w:t>
      </w:r>
    </w:p>
    <w:p w:rsidR="005A3FE2" w:rsidRDefault="005A3FE2" w:rsidP="005A3FE2">
      <w:pPr>
        <w:rPr>
          <w:rFonts w:ascii="Bookman Old Style" w:hAnsi="Bookman Old Style" w:cs="Helvetica"/>
          <w:color w:val="1D2228"/>
          <w:sz w:val="24"/>
          <w:szCs w:val="24"/>
        </w:rPr>
      </w:pPr>
    </w:p>
    <w:p w:rsidR="00FC1F68" w:rsidRDefault="00103C96" w:rsidP="005A3FE2">
      <w:pPr>
        <w:rPr>
          <w:rFonts w:ascii="Bookman Old Style" w:hAnsi="Bookman Old Style" w:cs="Helvetica"/>
          <w:color w:val="1D2228"/>
          <w:sz w:val="24"/>
          <w:szCs w:val="24"/>
        </w:rPr>
      </w:pPr>
      <w:r>
        <w:rPr>
          <w:rFonts w:ascii="Bookman Old Style" w:hAnsi="Bookman Old Style" w:cs="Helvetica"/>
          <w:color w:val="1D2228"/>
          <w:sz w:val="24"/>
          <w:szCs w:val="24"/>
        </w:rPr>
        <w:t xml:space="preserve">Moreover, these disparities are also reflected in stark comparison to Oakland County, which is our closest cohort in terms of size and volume although we are still much larger in both of those categories (greater than 40% of the State’s Delinquency and Neglect and Abuse cases).  </w:t>
      </w:r>
      <w:r w:rsidR="00FC1F68" w:rsidRPr="00FC1F68">
        <w:rPr>
          <w:rFonts w:ascii="Bookman Old Style" w:hAnsi="Bookman Old Style" w:cs="Helvetica"/>
          <w:i/>
          <w:color w:val="1D2228"/>
          <w:sz w:val="24"/>
          <w:szCs w:val="24"/>
        </w:rPr>
        <w:t>See attached OCJC Juvenile Voucher</w:t>
      </w:r>
      <w:r w:rsidR="00FC1F68">
        <w:rPr>
          <w:rFonts w:ascii="Bookman Old Style" w:hAnsi="Bookman Old Style" w:cs="Helvetica"/>
          <w:color w:val="1D2228"/>
          <w:sz w:val="24"/>
          <w:szCs w:val="24"/>
        </w:rPr>
        <w:t xml:space="preserve">.  </w:t>
      </w:r>
      <w:r>
        <w:rPr>
          <w:rFonts w:ascii="Bookman Old Style" w:hAnsi="Bookman Old Style" w:cs="Helvetica"/>
          <w:color w:val="1D2228"/>
          <w:sz w:val="24"/>
          <w:szCs w:val="24"/>
        </w:rPr>
        <w:t>Notably, Oakland County reviewed and revised their attorney pay rates</w:t>
      </w:r>
      <w:r w:rsidR="00FC1F68">
        <w:rPr>
          <w:rFonts w:ascii="Bookman Old Style" w:hAnsi="Bookman Old Style" w:cs="Helvetica"/>
          <w:color w:val="1D2228"/>
          <w:sz w:val="24"/>
          <w:szCs w:val="24"/>
        </w:rPr>
        <w:t xml:space="preserve"> approximately two months ago.  The OCJC Voucher reflects their current rates</w:t>
      </w:r>
      <w:r>
        <w:rPr>
          <w:rFonts w:ascii="Bookman Old Style" w:hAnsi="Bookman Old Style" w:cs="Helvetica"/>
          <w:color w:val="1D2228"/>
          <w:sz w:val="24"/>
          <w:szCs w:val="24"/>
        </w:rPr>
        <w:t xml:space="preserve">.  </w:t>
      </w:r>
      <w:r w:rsidR="00FC1F68" w:rsidRPr="00FC1F68">
        <w:rPr>
          <w:rFonts w:ascii="Bookman Old Style" w:hAnsi="Bookman Old Style" w:cs="Helvetica"/>
          <w:i/>
          <w:color w:val="1D2228"/>
          <w:sz w:val="24"/>
          <w:szCs w:val="24"/>
        </w:rPr>
        <w:t>Id.</w:t>
      </w:r>
      <w:r w:rsidR="00FC1F68">
        <w:rPr>
          <w:rFonts w:ascii="Bookman Old Style" w:hAnsi="Bookman Old Style" w:cs="Helvetica"/>
          <w:color w:val="1D2228"/>
          <w:sz w:val="24"/>
          <w:szCs w:val="24"/>
        </w:rPr>
        <w:t xml:space="preserve">  </w:t>
      </w:r>
      <w:r>
        <w:rPr>
          <w:rFonts w:ascii="Bookman Old Style" w:hAnsi="Bookman Old Style" w:cs="Helvetica"/>
          <w:color w:val="1D2228"/>
          <w:sz w:val="24"/>
          <w:szCs w:val="24"/>
        </w:rPr>
        <w:t xml:space="preserve">As you will see from their fee schedule, the attorneys are being paid at higher rates and for the types of proceedings for which we are not paying our </w:t>
      </w:r>
      <w:r>
        <w:rPr>
          <w:rFonts w:ascii="Bookman Old Style" w:hAnsi="Bookman Old Style" w:cs="Helvetica"/>
          <w:color w:val="1D2228"/>
          <w:sz w:val="24"/>
          <w:szCs w:val="24"/>
        </w:rPr>
        <w:lastRenderedPageBreak/>
        <w:t xml:space="preserve">attorneys.  </w:t>
      </w:r>
      <w:r w:rsidR="00FC1F68" w:rsidRPr="00FC1F68">
        <w:rPr>
          <w:rFonts w:ascii="Bookman Old Style" w:hAnsi="Bookman Old Style" w:cs="Helvetica"/>
          <w:i/>
          <w:color w:val="1D2228"/>
          <w:sz w:val="24"/>
          <w:szCs w:val="24"/>
        </w:rPr>
        <w:t>Id.</w:t>
      </w:r>
      <w:r w:rsidR="00FC1F68">
        <w:rPr>
          <w:rFonts w:ascii="Bookman Old Style" w:hAnsi="Bookman Old Style" w:cs="Helvetica"/>
          <w:color w:val="1D2228"/>
          <w:sz w:val="24"/>
          <w:szCs w:val="24"/>
        </w:rPr>
        <w:t xml:space="preserve">  Based upon the experiences of ACC members who practice throughout the state of Michigan, that is also the case for many other Michigan jurisdictions.</w:t>
      </w:r>
    </w:p>
    <w:p w:rsidR="00FC1F68" w:rsidRDefault="00FC1F68" w:rsidP="005A3FE2">
      <w:pPr>
        <w:rPr>
          <w:rFonts w:ascii="Bookman Old Style" w:hAnsi="Bookman Old Style" w:cs="Helvetica"/>
          <w:color w:val="1D2228"/>
          <w:sz w:val="24"/>
          <w:szCs w:val="24"/>
        </w:rPr>
      </w:pPr>
    </w:p>
    <w:p w:rsidR="00707838" w:rsidRDefault="00103C96" w:rsidP="005A3FE2">
      <w:pPr>
        <w:rPr>
          <w:rFonts w:ascii="Bookman Old Style" w:hAnsi="Bookman Old Style" w:cs="Helvetica"/>
          <w:color w:val="1D2228"/>
          <w:sz w:val="24"/>
          <w:szCs w:val="24"/>
        </w:rPr>
      </w:pPr>
      <w:r>
        <w:rPr>
          <w:rFonts w:ascii="Bookman Old Style" w:hAnsi="Bookman Old Style" w:cs="Helvetica"/>
          <w:color w:val="1D2228"/>
          <w:sz w:val="24"/>
          <w:szCs w:val="24"/>
        </w:rPr>
        <w:t>Th</w:t>
      </w:r>
      <w:r w:rsidR="00FC1F68">
        <w:rPr>
          <w:rFonts w:ascii="Bookman Old Style" w:hAnsi="Bookman Old Style" w:cs="Helvetica"/>
          <w:color w:val="1D2228"/>
          <w:sz w:val="24"/>
          <w:szCs w:val="24"/>
        </w:rPr>
        <w:t>ese</w:t>
      </w:r>
      <w:r>
        <w:rPr>
          <w:rFonts w:ascii="Bookman Old Style" w:hAnsi="Bookman Old Style" w:cs="Helvetica"/>
          <w:color w:val="1D2228"/>
          <w:sz w:val="24"/>
          <w:szCs w:val="24"/>
        </w:rPr>
        <w:t xml:space="preserve"> fact</w:t>
      </w:r>
      <w:r w:rsidR="00FC1F68">
        <w:rPr>
          <w:rFonts w:ascii="Bookman Old Style" w:hAnsi="Bookman Old Style" w:cs="Helvetica"/>
          <w:color w:val="1D2228"/>
          <w:sz w:val="24"/>
          <w:szCs w:val="24"/>
        </w:rPr>
        <w:t>s</w:t>
      </w:r>
      <w:r>
        <w:rPr>
          <w:rFonts w:ascii="Bookman Old Style" w:hAnsi="Bookman Old Style" w:cs="Helvetica"/>
          <w:color w:val="1D2228"/>
          <w:sz w:val="24"/>
          <w:szCs w:val="24"/>
        </w:rPr>
        <w:t xml:space="preserve"> exacerbate our inability to attract an</w:t>
      </w:r>
      <w:r w:rsidR="00FC1F68">
        <w:rPr>
          <w:rFonts w:ascii="Bookman Old Style" w:hAnsi="Bookman Old Style" w:cs="Helvetica"/>
          <w:color w:val="1D2228"/>
          <w:sz w:val="24"/>
          <w:szCs w:val="24"/>
        </w:rPr>
        <w:t>d</w:t>
      </w:r>
      <w:r>
        <w:rPr>
          <w:rFonts w:ascii="Bookman Old Style" w:hAnsi="Bookman Old Style" w:cs="Helvetica"/>
          <w:color w:val="1D2228"/>
          <w:sz w:val="24"/>
          <w:szCs w:val="24"/>
        </w:rPr>
        <w:t xml:space="preserve"> retain new </w:t>
      </w:r>
      <w:r w:rsidR="00FC1F68">
        <w:rPr>
          <w:rFonts w:ascii="Bookman Old Style" w:hAnsi="Bookman Old Style" w:cs="Helvetica"/>
          <w:color w:val="1D2228"/>
          <w:sz w:val="24"/>
          <w:szCs w:val="24"/>
        </w:rPr>
        <w:t xml:space="preserve">lawyers.  As you can see from the attached </w:t>
      </w:r>
      <w:r w:rsidR="00707838">
        <w:rPr>
          <w:rFonts w:ascii="Bookman Old Style" w:hAnsi="Bookman Old Style" w:cs="Helvetica"/>
          <w:color w:val="1D2228"/>
          <w:sz w:val="24"/>
          <w:szCs w:val="24"/>
        </w:rPr>
        <w:t xml:space="preserve">list of Juvenile attorneys, </w:t>
      </w:r>
      <w:r w:rsidR="00FC1F68">
        <w:rPr>
          <w:rFonts w:ascii="Bookman Old Style" w:hAnsi="Bookman Old Style" w:cs="Helvetica"/>
          <w:color w:val="1D2228"/>
          <w:sz w:val="24"/>
          <w:szCs w:val="24"/>
        </w:rPr>
        <w:t xml:space="preserve">we have an aging attorney population who are retiring and taking their expertise, experience, and institutional knowledge with them.  </w:t>
      </w:r>
      <w:r w:rsidR="00FC1F68" w:rsidRPr="00FC1F68">
        <w:rPr>
          <w:rFonts w:ascii="Bookman Old Style" w:hAnsi="Bookman Old Style" w:cs="Helvetica"/>
          <w:i/>
          <w:color w:val="1D2228"/>
          <w:sz w:val="24"/>
          <w:szCs w:val="24"/>
        </w:rPr>
        <w:t>See the attached Juvenile Attorney Listing</w:t>
      </w:r>
      <w:r w:rsidR="00FC1F68">
        <w:rPr>
          <w:rFonts w:ascii="Bookman Old Style" w:hAnsi="Bookman Old Style" w:cs="Helvetica"/>
          <w:color w:val="1D2228"/>
          <w:sz w:val="24"/>
          <w:szCs w:val="24"/>
        </w:rPr>
        <w:t xml:space="preserve">.  </w:t>
      </w:r>
      <w:r w:rsidR="00707838">
        <w:rPr>
          <w:rFonts w:ascii="Bookman Old Style" w:hAnsi="Bookman Old Style" w:cs="Helvetica"/>
          <w:color w:val="1D2228"/>
          <w:sz w:val="24"/>
          <w:szCs w:val="24"/>
        </w:rPr>
        <w:t xml:space="preserve">By way of example, Judge Miller’s bar number is P55928.  The overwhelming majority of the lawyers on our approved listing have bar numbers lower than hers and she has been in practice for almost 28 years!  </w:t>
      </w:r>
    </w:p>
    <w:p w:rsidR="00707838" w:rsidRDefault="00707838" w:rsidP="005A3FE2">
      <w:pPr>
        <w:rPr>
          <w:rFonts w:ascii="Bookman Old Style" w:hAnsi="Bookman Old Style" w:cs="Helvetica"/>
          <w:color w:val="1D2228"/>
          <w:sz w:val="24"/>
          <w:szCs w:val="24"/>
        </w:rPr>
      </w:pPr>
    </w:p>
    <w:p w:rsidR="00707838" w:rsidRDefault="00FC1F68" w:rsidP="005A3FE2">
      <w:pPr>
        <w:rPr>
          <w:rFonts w:ascii="Bookman Old Style" w:hAnsi="Bookman Old Style" w:cs="Helvetica"/>
          <w:color w:val="1D2228"/>
          <w:sz w:val="24"/>
          <w:szCs w:val="24"/>
        </w:rPr>
      </w:pPr>
      <w:r>
        <w:rPr>
          <w:rFonts w:ascii="Bookman Old Style" w:hAnsi="Bookman Old Style" w:cs="Helvetica"/>
          <w:color w:val="1D2228"/>
          <w:sz w:val="24"/>
          <w:szCs w:val="24"/>
        </w:rPr>
        <w:t xml:space="preserve">We must immediately turn that trend around or we will be left with very few attorneys with the requisite knowledge to </w:t>
      </w:r>
      <w:r w:rsidR="00707838">
        <w:rPr>
          <w:rFonts w:ascii="Bookman Old Style" w:hAnsi="Bookman Old Style" w:cs="Helvetica"/>
          <w:color w:val="1D2228"/>
          <w:sz w:val="24"/>
          <w:szCs w:val="24"/>
        </w:rPr>
        <w:t>represent parents and children in these cases.  This is evident right now in our Appellate Counsel ranks where we have such an insufficient number of appellate counsel that the Appeals are not always being handled in a timely manner due to the lack of approved and available counsel.  Similar concerns are present for the Attorneys who are available to serve as Counsel for the Designated criminal cases and for the Confidential Intermediaries for Adoptions cases, for example.</w:t>
      </w:r>
    </w:p>
    <w:p w:rsidR="00707838" w:rsidRDefault="00707838" w:rsidP="005A3FE2">
      <w:pPr>
        <w:rPr>
          <w:rFonts w:ascii="Bookman Old Style" w:hAnsi="Bookman Old Style" w:cs="Helvetica"/>
          <w:color w:val="1D2228"/>
          <w:sz w:val="24"/>
          <w:szCs w:val="24"/>
        </w:rPr>
      </w:pPr>
    </w:p>
    <w:p w:rsidR="00103C96" w:rsidRDefault="00707838" w:rsidP="005A3FE2">
      <w:pPr>
        <w:rPr>
          <w:rFonts w:ascii="Bookman Old Style" w:hAnsi="Bookman Old Style" w:cs="Helvetica"/>
          <w:color w:val="1D2228"/>
          <w:sz w:val="24"/>
          <w:szCs w:val="24"/>
        </w:rPr>
      </w:pPr>
      <w:r>
        <w:rPr>
          <w:rFonts w:ascii="Bookman Old Style" w:hAnsi="Bookman Old Style" w:cs="Helvetica"/>
          <w:color w:val="1D2228"/>
          <w:sz w:val="24"/>
          <w:szCs w:val="24"/>
        </w:rPr>
        <w:t>Finally, and perhaps most significantly, this is not an area of the law that just anyone can jump into without adequate training and base of knowledge.  This are of the law includes</w:t>
      </w:r>
      <w:r w:rsidR="00E531C6">
        <w:rPr>
          <w:rFonts w:ascii="Bookman Old Style" w:hAnsi="Bookman Old Style" w:cs="Helvetica"/>
          <w:color w:val="1D2228"/>
          <w:sz w:val="24"/>
          <w:szCs w:val="24"/>
        </w:rPr>
        <w:t xml:space="preserve"> </w:t>
      </w:r>
      <w:r>
        <w:rPr>
          <w:rFonts w:ascii="Bookman Old Style" w:hAnsi="Bookman Old Style" w:cs="Helvetica"/>
          <w:color w:val="1D2228"/>
          <w:sz w:val="24"/>
          <w:szCs w:val="24"/>
        </w:rPr>
        <w:t xml:space="preserve">criminal law; civil law; criminal procedure; civil procedure; neglect and abuse law; adoptions law; guardianship law; </w:t>
      </w:r>
      <w:r w:rsidR="00E531C6">
        <w:rPr>
          <w:rFonts w:ascii="Bookman Old Style" w:hAnsi="Bookman Old Style" w:cs="Helvetica"/>
          <w:color w:val="1D2228"/>
          <w:sz w:val="24"/>
          <w:szCs w:val="24"/>
        </w:rPr>
        <w:t>certain aspects of probate law, and family law as it pertains to custody, paternity, revocation of paternity, child support, etc.  This is part of what makes Juvenile law so unique from many other areas of the law.  But, it also mandates that we must be in a posture that permits us to keep our current subject matter expert attorneys and recruit and retain new lawyers with a desire to learn this vital area of the law</w:t>
      </w:r>
      <w:r w:rsidR="0039753B">
        <w:rPr>
          <w:rFonts w:ascii="Bookman Old Style" w:hAnsi="Bookman Old Style" w:cs="Helvetica"/>
          <w:color w:val="1D2228"/>
          <w:sz w:val="24"/>
          <w:szCs w:val="24"/>
        </w:rPr>
        <w:t xml:space="preserve">.  We must </w:t>
      </w:r>
      <w:r w:rsidR="00E531C6">
        <w:rPr>
          <w:rFonts w:ascii="Bookman Old Style" w:hAnsi="Bookman Old Style" w:cs="Helvetica"/>
          <w:color w:val="1D2228"/>
          <w:sz w:val="24"/>
          <w:szCs w:val="24"/>
        </w:rPr>
        <w:t xml:space="preserve">also </w:t>
      </w:r>
      <w:r w:rsidR="0039753B">
        <w:rPr>
          <w:rFonts w:ascii="Bookman Old Style" w:hAnsi="Bookman Old Style" w:cs="Helvetica"/>
          <w:color w:val="1D2228"/>
          <w:sz w:val="24"/>
          <w:szCs w:val="24"/>
        </w:rPr>
        <w:t xml:space="preserve">ensure that both groups of lawyers are </w:t>
      </w:r>
      <w:r w:rsidR="00E531C6">
        <w:rPr>
          <w:rFonts w:ascii="Bookman Old Style" w:hAnsi="Bookman Old Style" w:cs="Helvetica"/>
          <w:color w:val="1D2228"/>
          <w:sz w:val="24"/>
          <w:szCs w:val="24"/>
        </w:rPr>
        <w:t>being compensated appropriately and equitably.  Having our lawyers compensated at the same rates since 1990 does not reflect those values</w:t>
      </w:r>
      <w:r w:rsidR="0039753B" w:rsidRPr="0039753B">
        <w:rPr>
          <w:rFonts w:ascii="Bookman Old Style" w:hAnsi="Bookman Old Style" w:cs="Helvetica"/>
          <w:color w:val="1D2228"/>
          <w:sz w:val="24"/>
          <w:szCs w:val="24"/>
        </w:rPr>
        <w:t xml:space="preserve"> </w:t>
      </w:r>
      <w:r w:rsidR="0039753B">
        <w:rPr>
          <w:rFonts w:ascii="Bookman Old Style" w:hAnsi="Bookman Old Style" w:cs="Helvetica"/>
          <w:color w:val="1D2228"/>
          <w:sz w:val="24"/>
          <w:szCs w:val="24"/>
        </w:rPr>
        <w:t>at all</w:t>
      </w:r>
      <w:r w:rsidR="00E531C6">
        <w:rPr>
          <w:rFonts w:ascii="Bookman Old Style" w:hAnsi="Bookman Old Style" w:cs="Helvetica"/>
          <w:color w:val="1D2228"/>
          <w:sz w:val="24"/>
          <w:szCs w:val="24"/>
        </w:rPr>
        <w:t xml:space="preserve">.  </w:t>
      </w:r>
    </w:p>
    <w:p w:rsidR="00103C96" w:rsidRDefault="00103C96" w:rsidP="005A3FE2">
      <w:pPr>
        <w:rPr>
          <w:rFonts w:ascii="Bookman Old Style" w:hAnsi="Bookman Old Style" w:cs="Helvetica"/>
          <w:color w:val="1D2228"/>
          <w:sz w:val="24"/>
          <w:szCs w:val="24"/>
        </w:rPr>
      </w:pPr>
    </w:p>
    <w:p w:rsidR="00F36DDA" w:rsidRDefault="00F36DDA" w:rsidP="005A3FE2">
      <w:pPr>
        <w:rPr>
          <w:rFonts w:ascii="Bookman Old Style" w:hAnsi="Bookman Old Style" w:cs="Helvetica"/>
          <w:b/>
          <w:color w:val="1D2228"/>
          <w:sz w:val="24"/>
          <w:szCs w:val="24"/>
          <w:u w:val="single"/>
        </w:rPr>
      </w:pPr>
      <w:r>
        <w:rPr>
          <w:rFonts w:ascii="Bookman Old Style" w:hAnsi="Bookman Old Style" w:cs="Helvetica"/>
          <w:b/>
          <w:color w:val="1D2228"/>
          <w:sz w:val="24"/>
          <w:szCs w:val="24"/>
          <w:u w:val="single"/>
        </w:rPr>
        <w:t>ACC Recommendations:</w:t>
      </w:r>
    </w:p>
    <w:p w:rsidR="00F36DDA" w:rsidRDefault="00F36DDA" w:rsidP="005A3FE2">
      <w:pPr>
        <w:rPr>
          <w:rFonts w:ascii="Bookman Old Style" w:hAnsi="Bookman Old Style" w:cs="Helvetica"/>
          <w:color w:val="1D2228"/>
          <w:sz w:val="24"/>
          <w:szCs w:val="24"/>
        </w:rPr>
      </w:pPr>
    </w:p>
    <w:p w:rsidR="00F36DDA" w:rsidRDefault="00F36DDA" w:rsidP="005A3FE2">
      <w:pPr>
        <w:rPr>
          <w:rFonts w:ascii="Bookman Old Style" w:hAnsi="Bookman Old Style" w:cs="Helvetica"/>
          <w:color w:val="1D2228"/>
          <w:sz w:val="24"/>
          <w:szCs w:val="24"/>
        </w:rPr>
      </w:pPr>
      <w:r>
        <w:rPr>
          <w:rFonts w:ascii="Bookman Old Style" w:hAnsi="Bookman Old Style" w:cs="Helvetica"/>
          <w:color w:val="1D2228"/>
          <w:sz w:val="24"/>
          <w:szCs w:val="24"/>
        </w:rPr>
        <w:t>Based upon all of the foregoing, the ACC recommends the adoption of the attached Proposed Attorney Fee Schedule</w:t>
      </w:r>
      <w:r w:rsidR="00E531C6">
        <w:rPr>
          <w:rFonts w:ascii="Bookman Old Style" w:hAnsi="Bookman Old Style" w:cs="Helvetica"/>
          <w:color w:val="1D2228"/>
          <w:sz w:val="24"/>
          <w:szCs w:val="24"/>
        </w:rPr>
        <w:t xml:space="preserve"> and</w:t>
      </w:r>
      <w:r w:rsidR="00D771C3">
        <w:rPr>
          <w:rFonts w:ascii="Bookman Old Style" w:hAnsi="Bookman Old Style" w:cs="Helvetica"/>
          <w:color w:val="1D2228"/>
          <w:sz w:val="24"/>
          <w:szCs w:val="24"/>
        </w:rPr>
        <w:t xml:space="preserve"> the</w:t>
      </w:r>
      <w:r w:rsidR="00E531C6">
        <w:rPr>
          <w:rFonts w:ascii="Bookman Old Style" w:hAnsi="Bookman Old Style" w:cs="Helvetica"/>
          <w:color w:val="1D2228"/>
          <w:sz w:val="24"/>
          <w:szCs w:val="24"/>
        </w:rPr>
        <w:t xml:space="preserve"> attached Proposed P</w:t>
      </w:r>
      <w:r w:rsidR="00D771C3">
        <w:rPr>
          <w:rFonts w:ascii="Bookman Old Style" w:hAnsi="Bookman Old Style" w:cs="Helvetica"/>
          <w:color w:val="1D2228"/>
          <w:sz w:val="24"/>
          <w:szCs w:val="24"/>
        </w:rPr>
        <w:t xml:space="preserve">olicy </w:t>
      </w:r>
      <w:r w:rsidR="00E531C6">
        <w:rPr>
          <w:rFonts w:ascii="Bookman Old Style" w:hAnsi="Bookman Old Style" w:cs="Helvetica"/>
          <w:color w:val="1D2228"/>
          <w:sz w:val="24"/>
          <w:szCs w:val="24"/>
        </w:rPr>
        <w:t>C</w:t>
      </w:r>
      <w:r w:rsidR="00D771C3">
        <w:rPr>
          <w:rFonts w:ascii="Bookman Old Style" w:hAnsi="Bookman Old Style" w:cs="Helvetica"/>
          <w:color w:val="1D2228"/>
          <w:sz w:val="24"/>
          <w:szCs w:val="24"/>
        </w:rPr>
        <w:t xml:space="preserve">hanges </w:t>
      </w:r>
      <w:r w:rsidR="00E531C6">
        <w:rPr>
          <w:rFonts w:ascii="Bookman Old Style" w:hAnsi="Bookman Old Style" w:cs="Helvetica"/>
          <w:color w:val="1D2228"/>
          <w:sz w:val="24"/>
          <w:szCs w:val="24"/>
        </w:rPr>
        <w:t xml:space="preserve">on Attorney Assignments and Other Ancillary Matters.  We also recommend the immediate implementation of the usage of the </w:t>
      </w:r>
      <w:r>
        <w:rPr>
          <w:rFonts w:ascii="Bookman Old Style" w:hAnsi="Bookman Old Style" w:cs="Helvetica"/>
          <w:color w:val="1D2228"/>
          <w:sz w:val="24"/>
          <w:szCs w:val="24"/>
        </w:rPr>
        <w:t>attached updated At</w:t>
      </w:r>
      <w:r w:rsidR="00D771C3">
        <w:rPr>
          <w:rFonts w:ascii="Bookman Old Style" w:hAnsi="Bookman Old Style" w:cs="Helvetica"/>
          <w:color w:val="1D2228"/>
          <w:sz w:val="24"/>
          <w:szCs w:val="24"/>
        </w:rPr>
        <w:t xml:space="preserve">torney Assignment and Removal Forms.  </w:t>
      </w:r>
    </w:p>
    <w:p w:rsidR="00F36DDA" w:rsidRDefault="00F36DDA" w:rsidP="005A3FE2">
      <w:pPr>
        <w:rPr>
          <w:rFonts w:ascii="Bookman Old Style" w:hAnsi="Bookman Old Style" w:cs="Helvetica"/>
          <w:color w:val="1D2228"/>
          <w:sz w:val="24"/>
          <w:szCs w:val="24"/>
        </w:rPr>
      </w:pPr>
    </w:p>
    <w:p w:rsidR="00F36DDA" w:rsidRPr="00F36DDA" w:rsidRDefault="00F36DDA" w:rsidP="005A3FE2">
      <w:pPr>
        <w:rPr>
          <w:rFonts w:ascii="Bookman Old Style" w:hAnsi="Bookman Old Style" w:cs="Helvetica"/>
          <w:color w:val="1D2228"/>
          <w:sz w:val="24"/>
          <w:szCs w:val="24"/>
        </w:rPr>
      </w:pPr>
    </w:p>
    <w:p w:rsidR="0039753B" w:rsidRDefault="0039753B">
      <w:pPr>
        <w:spacing w:after="160" w:line="259" w:lineRule="auto"/>
        <w:rPr>
          <w:rFonts w:ascii="Bookman Old Style" w:hAnsi="Bookman Old Style" w:cs="Helvetica"/>
          <w:b/>
          <w:color w:val="1D2228"/>
          <w:sz w:val="24"/>
          <w:szCs w:val="24"/>
          <w:u w:val="single"/>
        </w:rPr>
      </w:pPr>
      <w:r>
        <w:rPr>
          <w:rFonts w:ascii="Bookman Old Style" w:hAnsi="Bookman Old Style" w:cs="Helvetica"/>
          <w:b/>
          <w:color w:val="1D2228"/>
          <w:sz w:val="24"/>
          <w:szCs w:val="24"/>
          <w:u w:val="single"/>
        </w:rPr>
        <w:br w:type="page"/>
      </w:r>
    </w:p>
    <w:p w:rsidR="00103C96" w:rsidRPr="00103C96" w:rsidRDefault="00103C96" w:rsidP="005A3FE2">
      <w:pPr>
        <w:rPr>
          <w:rFonts w:ascii="Bookman Old Style" w:hAnsi="Bookman Old Style" w:cs="Helvetica"/>
          <w:b/>
          <w:color w:val="1D2228"/>
          <w:sz w:val="24"/>
          <w:szCs w:val="24"/>
          <w:u w:val="single"/>
        </w:rPr>
      </w:pPr>
      <w:r w:rsidRPr="00103C96">
        <w:rPr>
          <w:rFonts w:ascii="Bookman Old Style" w:hAnsi="Bookman Old Style" w:cs="Helvetica"/>
          <w:b/>
          <w:color w:val="1D2228"/>
          <w:sz w:val="24"/>
          <w:szCs w:val="24"/>
          <w:u w:val="single"/>
        </w:rPr>
        <w:lastRenderedPageBreak/>
        <w:t xml:space="preserve">Conclusion:  </w:t>
      </w:r>
    </w:p>
    <w:p w:rsidR="00103C96" w:rsidRPr="005A3FE2" w:rsidRDefault="00103C96" w:rsidP="005A3FE2">
      <w:pPr>
        <w:rPr>
          <w:rFonts w:ascii="Bookman Old Style" w:hAnsi="Bookman Old Style" w:cs="Helvetica"/>
          <w:color w:val="1D2228"/>
          <w:sz w:val="24"/>
          <w:szCs w:val="24"/>
        </w:rPr>
      </w:pPr>
    </w:p>
    <w:p w:rsidR="005A3FE2" w:rsidRDefault="005A3FE2" w:rsidP="005A3FE2">
      <w:pPr>
        <w:rPr>
          <w:rFonts w:ascii="Bookman Old Style" w:hAnsi="Bookman Old Style" w:cs="Helvetica"/>
          <w:color w:val="1D2228"/>
          <w:sz w:val="24"/>
          <w:szCs w:val="24"/>
        </w:rPr>
      </w:pPr>
      <w:r w:rsidRPr="005A3FE2">
        <w:rPr>
          <w:rFonts w:ascii="Bookman Old Style" w:hAnsi="Bookman Old Style" w:cs="Helvetica"/>
          <w:color w:val="1D2228"/>
          <w:sz w:val="24"/>
          <w:szCs w:val="24"/>
        </w:rPr>
        <w:t xml:space="preserve">This is a very serious matter and it needs to be addressed as expeditiously as possible.  </w:t>
      </w:r>
      <w:r w:rsidR="0039753B">
        <w:rPr>
          <w:rFonts w:ascii="Bookman Old Style" w:hAnsi="Bookman Old Style" w:cs="Helvetica"/>
          <w:color w:val="1D2228"/>
          <w:sz w:val="24"/>
          <w:szCs w:val="24"/>
        </w:rPr>
        <w:t>We strive to serve Wayne County’s families and children with distinction, dedication, expertise, and excellence.  These proposed changes will support us in doing that well beyond the life and times of our contemporaries.  It will support and encourage the establishment of a sustainable pipeline for Juvenile Lawyers well into the future.  Carpe Diem!</w:t>
      </w:r>
    </w:p>
    <w:p w:rsidR="0039753B" w:rsidRDefault="0039753B" w:rsidP="005A3FE2">
      <w:pPr>
        <w:rPr>
          <w:rFonts w:ascii="Bookman Old Style" w:hAnsi="Bookman Old Style"/>
          <w:sz w:val="24"/>
        </w:rPr>
      </w:pPr>
    </w:p>
    <w:p w:rsidR="0039753B" w:rsidRDefault="0039753B" w:rsidP="005A3FE2">
      <w:pPr>
        <w:rPr>
          <w:rFonts w:ascii="Bookman Old Style" w:hAnsi="Bookman Old Style"/>
          <w:sz w:val="24"/>
        </w:rPr>
      </w:pPr>
    </w:p>
    <w:p w:rsidR="0039753B" w:rsidRPr="005A3FE2" w:rsidRDefault="0039753B" w:rsidP="005A3FE2">
      <w:pPr>
        <w:rPr>
          <w:rFonts w:ascii="Bookman Old Style" w:hAnsi="Bookman Old Style"/>
          <w:sz w:val="24"/>
        </w:rPr>
      </w:pPr>
      <w:r>
        <w:rPr>
          <w:rFonts w:ascii="Bookman Old Style" w:hAnsi="Bookman Old Style"/>
          <w:sz w:val="24"/>
        </w:rPr>
        <w:t>ACC:CLM/</w:t>
      </w:r>
    </w:p>
    <w:p w:rsidR="005A3FE2" w:rsidRPr="005A3FE2" w:rsidRDefault="005A3FE2" w:rsidP="005A3FE2">
      <w:pPr>
        <w:rPr>
          <w:rFonts w:ascii="Bookman Old Style" w:hAnsi="Bookman Old Style"/>
          <w:sz w:val="24"/>
        </w:rPr>
      </w:pPr>
    </w:p>
    <w:sectPr w:rsidR="005A3FE2" w:rsidRPr="005A3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E2"/>
    <w:rsid w:val="00047519"/>
    <w:rsid w:val="00103C96"/>
    <w:rsid w:val="0039753B"/>
    <w:rsid w:val="005A3FE2"/>
    <w:rsid w:val="006308AB"/>
    <w:rsid w:val="00707838"/>
    <w:rsid w:val="007B3F1D"/>
    <w:rsid w:val="00B46BE1"/>
    <w:rsid w:val="00BF346F"/>
    <w:rsid w:val="00D2734A"/>
    <w:rsid w:val="00D771C3"/>
    <w:rsid w:val="00E531C6"/>
    <w:rsid w:val="00F36DDA"/>
    <w:rsid w:val="00FB2452"/>
    <w:rsid w:val="00FC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7554"/>
  <w15:chartTrackingRefBased/>
  <w15:docId w15:val="{F351EE9D-75F7-4B16-BE81-C9B31A10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3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Third Circuit Court of Michigan User</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Cylenthia LaToye</dc:creator>
  <cp:keywords/>
  <dc:description/>
  <cp:lastModifiedBy>Miller, Cylenthia LaToye</cp:lastModifiedBy>
  <cp:revision>2</cp:revision>
  <dcterms:created xsi:type="dcterms:W3CDTF">2024-08-26T22:23:00Z</dcterms:created>
  <dcterms:modified xsi:type="dcterms:W3CDTF">2024-08-26T22:23:00Z</dcterms:modified>
</cp:coreProperties>
</file>